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p w:rsidR="002E14A5" w:rsidRDefault="002E14A5" w:rsidP="002E14A5">
      <w:pPr>
        <w:rPr>
          <w:noProof w:val="0"/>
        </w:rPr>
      </w:pPr>
      <w:bookmarkStart w:id="0" w:name="NGCSBookmark"/>
      <w:bookmarkEnd w:id="0"/>
    </w:p>
    <w:tbl>
      <w:tblPr>
        <w:tblStyle w:val="a9"/>
        <w:bidiVisual/>
        <w:tblW w:w="8820" w:type="dxa"/>
        <w:jc w:val="center"/>
        <w:tblLook w:val="01E0" w:firstRow="1" w:lastRow="1" w:firstColumn="1" w:lastColumn="1" w:noHBand="0" w:noVBand="0"/>
      </w:tblPr>
      <w:tblGrid>
        <w:gridCol w:w="923"/>
        <w:gridCol w:w="3219"/>
        <w:gridCol w:w="4678"/>
      </w:tblGrid>
      <w:tr w:rsidR="002E14A5" w:rsidTr="002E14A5">
        <w:trPr>
          <w:trHeight w:val="295"/>
          <w:jc w:val="center"/>
        </w:trPr>
        <w:tc>
          <w:tcPr>
            <w:tcW w:w="923" w:type="dxa"/>
            <w:tcBorders>
              <w:top w:val="nil"/>
              <w:left w:val="nil"/>
              <w:bottom w:val="nil"/>
              <w:right w:val="nil"/>
            </w:tcBorders>
            <w:hideMark/>
          </w:tcPr>
          <w:p w:rsidR="002E14A5" w:rsidRDefault="002E14A5">
            <w:pPr>
              <w:jc w:val="both"/>
              <w:rPr>
                <w:rFonts w:ascii="David" w:hAnsi="David"/>
                <w:sz w:val="26"/>
                <w:szCs w:val="26"/>
                <w:rtl/>
              </w:rPr>
            </w:pPr>
            <w:r>
              <w:rPr>
                <w:rFonts w:ascii="David" w:hAnsi="David"/>
                <w:sz w:val="26"/>
                <w:szCs w:val="26"/>
                <w:rtl/>
              </w:rPr>
              <w:t xml:space="preserve">בפני </w:t>
            </w:r>
          </w:p>
        </w:tc>
        <w:tc>
          <w:tcPr>
            <w:tcW w:w="7897" w:type="dxa"/>
            <w:gridSpan w:val="2"/>
            <w:tcBorders>
              <w:top w:val="nil"/>
              <w:left w:val="nil"/>
              <w:bottom w:val="nil"/>
              <w:right w:val="nil"/>
            </w:tcBorders>
          </w:tcPr>
          <w:p w:rsidR="002E14A5" w:rsidRDefault="002E14A5">
            <w:pPr>
              <w:jc w:val="both"/>
              <w:rPr>
                <w:rFonts w:ascii="David" w:hAnsi="David"/>
                <w:sz w:val="26"/>
                <w:szCs w:val="26"/>
              </w:rPr>
            </w:pPr>
          </w:p>
          <w:p w:rsidR="002E14A5" w:rsidRDefault="002E14A5">
            <w:pPr>
              <w:rPr>
                <w:rFonts w:ascii="David" w:hAnsi="David"/>
                <w:b/>
                <w:bCs/>
                <w:sz w:val="26"/>
                <w:szCs w:val="26"/>
              </w:rPr>
            </w:pPr>
            <w:r>
              <w:rPr>
                <w:rFonts w:ascii="David" w:hAnsi="David"/>
                <w:b/>
                <w:bCs/>
                <w:sz w:val="26"/>
                <w:szCs w:val="26"/>
                <w:rtl/>
              </w:rPr>
              <w:t>כבוד ה</w:t>
            </w:r>
            <w:sdt>
              <w:sdtPr>
                <w:rPr>
                  <w:rFonts w:ascii="David" w:hAnsi="David"/>
                  <w:sz w:val="26"/>
                  <w:szCs w:val="26"/>
                  <w:rtl/>
                </w:rPr>
                <w:alias w:val="1574"/>
                <w:tag w:val="1574"/>
                <w:id w:val="-1615122647"/>
                <w:text w:multiLine="1"/>
              </w:sdtPr>
              <w:sdtEndPr/>
              <w:sdtContent>
                <w:r>
                  <w:rPr>
                    <w:rFonts w:ascii="David" w:hAnsi="David"/>
                    <w:b/>
                    <w:bCs/>
                    <w:sz w:val="26"/>
                    <w:szCs w:val="26"/>
                    <w:rtl/>
                  </w:rPr>
                  <w:t>שופט</w:t>
                </w:r>
              </w:sdtContent>
            </w:sdt>
            <w:r>
              <w:rPr>
                <w:rFonts w:ascii="David" w:hAnsi="David"/>
                <w:b/>
                <w:bCs/>
                <w:sz w:val="26"/>
                <w:szCs w:val="26"/>
                <w:rtl/>
              </w:rPr>
              <w:t xml:space="preserve">  </w:t>
            </w:r>
            <w:sdt>
              <w:sdtPr>
                <w:rPr>
                  <w:rFonts w:ascii="David" w:hAnsi="David"/>
                  <w:b/>
                  <w:bCs/>
                  <w:sz w:val="26"/>
                  <w:szCs w:val="26"/>
                  <w:rtl/>
                </w:rPr>
                <w:alias w:val="1573"/>
                <w:tag w:val="1573"/>
                <w:id w:val="-1715807626"/>
                <w:text w:multiLine="1"/>
              </w:sdtPr>
              <w:sdtEndPr/>
              <w:sdtContent>
                <w:r w:rsidRPr="00460DFF">
                  <w:rPr>
                    <w:rFonts w:ascii="David" w:hAnsi="David"/>
                    <w:b/>
                    <w:bCs/>
                    <w:sz w:val="26"/>
                    <w:szCs w:val="26"/>
                    <w:rtl/>
                  </w:rPr>
                  <w:t>עמי קובו</w:t>
                </w:r>
              </w:sdtContent>
            </w:sdt>
          </w:p>
          <w:p w:rsidR="002E14A5" w:rsidRDefault="002E14A5">
            <w:pPr>
              <w:rPr>
                <w:rFonts w:ascii="David" w:hAnsi="David"/>
                <w:b/>
                <w:bCs/>
                <w:sz w:val="26"/>
                <w:szCs w:val="26"/>
                <w:rtl/>
              </w:rPr>
            </w:pPr>
            <w:r>
              <w:rPr>
                <w:rFonts w:ascii="David" w:hAnsi="David"/>
                <w:b/>
                <w:bCs/>
                <w:sz w:val="26"/>
                <w:szCs w:val="26"/>
                <w:rtl/>
              </w:rPr>
              <w:t>כבוד ה</w:t>
            </w:r>
            <w:sdt>
              <w:sdtPr>
                <w:rPr>
                  <w:rFonts w:ascii="David" w:hAnsi="David"/>
                  <w:sz w:val="26"/>
                  <w:szCs w:val="26"/>
                  <w:rtl/>
                </w:rPr>
                <w:alias w:val="1574"/>
                <w:tag w:val="1574"/>
                <w:id w:val="-357511096"/>
                <w:text w:multiLine="1"/>
              </w:sdtPr>
              <w:sdtEndPr/>
              <w:sdtContent>
                <w:r>
                  <w:rPr>
                    <w:rFonts w:ascii="David" w:hAnsi="David"/>
                    <w:b/>
                    <w:bCs/>
                    <w:sz w:val="26"/>
                    <w:szCs w:val="26"/>
                    <w:rtl/>
                  </w:rPr>
                  <w:t>שופט</w:t>
                </w:r>
              </w:sdtContent>
            </w:sdt>
            <w:r>
              <w:rPr>
                <w:rFonts w:ascii="David" w:hAnsi="David"/>
                <w:b/>
                <w:bCs/>
                <w:sz w:val="26"/>
                <w:szCs w:val="26"/>
                <w:rtl/>
              </w:rPr>
              <w:t xml:space="preserve">  </w:t>
            </w:r>
            <w:sdt>
              <w:sdtPr>
                <w:rPr>
                  <w:rFonts w:ascii="David" w:hAnsi="David"/>
                  <w:sz w:val="26"/>
                  <w:szCs w:val="26"/>
                  <w:rtl/>
                </w:rPr>
                <w:alias w:val="1573"/>
                <w:tag w:val="1573"/>
                <w:id w:val="-807925212"/>
                <w:text w:multiLine="1"/>
              </w:sdtPr>
              <w:sdtEndPr/>
              <w:sdtContent>
                <w:r>
                  <w:rPr>
                    <w:rFonts w:ascii="David" w:hAnsi="David"/>
                    <w:b/>
                    <w:bCs/>
                    <w:sz w:val="26"/>
                    <w:szCs w:val="26"/>
                    <w:rtl/>
                  </w:rPr>
                  <w:t>מיכאל קרשן</w:t>
                </w:r>
              </w:sdtContent>
            </w:sdt>
          </w:p>
          <w:p w:rsidR="002E14A5" w:rsidRDefault="002E14A5">
            <w:pPr>
              <w:rPr>
                <w:rFonts w:ascii="David" w:hAnsi="David"/>
                <w:b/>
                <w:bCs/>
                <w:sz w:val="26"/>
                <w:szCs w:val="26"/>
                <w:rtl/>
              </w:rPr>
            </w:pPr>
            <w:r>
              <w:rPr>
                <w:rFonts w:ascii="David" w:hAnsi="David"/>
                <w:b/>
                <w:bCs/>
                <w:sz w:val="26"/>
                <w:szCs w:val="26"/>
                <w:rtl/>
              </w:rPr>
              <w:t>כבוד ה</w:t>
            </w:r>
            <w:sdt>
              <w:sdtPr>
                <w:rPr>
                  <w:rFonts w:ascii="David" w:hAnsi="David"/>
                  <w:sz w:val="26"/>
                  <w:szCs w:val="26"/>
                  <w:rtl/>
                </w:rPr>
                <w:alias w:val="1574"/>
                <w:tag w:val="1574"/>
                <w:id w:val="611720323"/>
                <w:text w:multiLine="1"/>
              </w:sdtPr>
              <w:sdtEndPr/>
              <w:sdtContent>
                <w:r>
                  <w:rPr>
                    <w:rFonts w:ascii="David" w:hAnsi="David"/>
                    <w:b/>
                    <w:bCs/>
                    <w:sz w:val="26"/>
                    <w:szCs w:val="26"/>
                    <w:rtl/>
                  </w:rPr>
                  <w:t>שופטת</w:t>
                </w:r>
              </w:sdtContent>
            </w:sdt>
            <w:r>
              <w:rPr>
                <w:rFonts w:ascii="David" w:hAnsi="David"/>
                <w:b/>
                <w:bCs/>
                <w:sz w:val="26"/>
                <w:szCs w:val="26"/>
                <w:rtl/>
              </w:rPr>
              <w:t xml:space="preserve">  </w:t>
            </w:r>
            <w:sdt>
              <w:sdtPr>
                <w:rPr>
                  <w:rFonts w:ascii="David" w:hAnsi="David"/>
                  <w:sz w:val="26"/>
                  <w:szCs w:val="26"/>
                  <w:rtl/>
                </w:rPr>
                <w:alias w:val="1573"/>
                <w:tag w:val="1573"/>
                <w:id w:val="439575772"/>
                <w:text w:multiLine="1"/>
              </w:sdtPr>
              <w:sdtEndPr/>
              <w:sdtContent>
                <w:r>
                  <w:rPr>
                    <w:rFonts w:ascii="David" w:hAnsi="David"/>
                    <w:b/>
                    <w:bCs/>
                    <w:sz w:val="26"/>
                    <w:szCs w:val="26"/>
                    <w:rtl/>
                  </w:rPr>
                  <w:t>מרב גרינברג</w:t>
                </w:r>
              </w:sdtContent>
            </w:sdt>
          </w:p>
          <w:p w:rsidR="002E14A5" w:rsidRDefault="002E14A5">
            <w:pPr>
              <w:rPr>
                <w:rFonts w:ascii="David" w:hAnsi="David"/>
                <w:sz w:val="26"/>
                <w:szCs w:val="26"/>
                <w:rtl/>
              </w:rPr>
            </w:pPr>
          </w:p>
        </w:tc>
      </w:tr>
      <w:tr w:rsidR="002E14A5" w:rsidTr="002E14A5">
        <w:trPr>
          <w:trHeight w:val="355"/>
          <w:jc w:val="center"/>
        </w:trPr>
        <w:tc>
          <w:tcPr>
            <w:tcW w:w="923" w:type="dxa"/>
            <w:tcBorders>
              <w:top w:val="nil"/>
              <w:left w:val="nil"/>
              <w:bottom w:val="nil"/>
              <w:right w:val="nil"/>
            </w:tcBorders>
            <w:hideMark/>
          </w:tcPr>
          <w:p w:rsidR="002E14A5" w:rsidRDefault="002E14A5">
            <w:pPr>
              <w:jc w:val="both"/>
              <w:rPr>
                <w:rFonts w:ascii="David" w:hAnsi="David"/>
                <w:sz w:val="26"/>
                <w:szCs w:val="26"/>
                <w:rtl/>
              </w:rPr>
            </w:pPr>
            <w:r>
              <w:rPr>
                <w:rFonts w:ascii="David" w:hAnsi="David"/>
                <w:sz w:val="26"/>
                <w:szCs w:val="26"/>
                <w:rtl/>
              </w:rPr>
              <w:t>בעניין:</w:t>
            </w:r>
          </w:p>
        </w:tc>
        <w:tc>
          <w:tcPr>
            <w:tcW w:w="3219" w:type="dxa"/>
            <w:tcBorders>
              <w:top w:val="nil"/>
              <w:left w:val="nil"/>
              <w:bottom w:val="nil"/>
              <w:right w:val="nil"/>
            </w:tcBorders>
          </w:tcPr>
          <w:p w:rsidR="002E14A5" w:rsidRDefault="002E14A5">
            <w:pPr>
              <w:suppressLineNumbers/>
            </w:pPr>
            <w:r>
              <w:rPr>
                <w:rFonts w:ascii="Arial" w:hAnsi="Arial"/>
                <w:b/>
                <w:bCs/>
                <w:sz w:val="26"/>
                <w:szCs w:val="26"/>
                <w:rtl/>
              </w:rPr>
              <w:t>ה</w:t>
            </w:r>
            <w:sdt>
              <w:sdtPr>
                <w:rPr>
                  <w:rtl/>
                </w:rPr>
                <w:alias w:val="1180"/>
                <w:tag w:val="1180"/>
                <w:id w:val="710001153"/>
                <w:text w:multiLine="1"/>
              </w:sdtPr>
              <w:sdtEndPr/>
              <w:sdtContent>
                <w:r>
                  <w:rPr>
                    <w:rFonts w:ascii="Arial" w:hAnsi="Arial"/>
                    <w:b/>
                    <w:bCs/>
                    <w:sz w:val="26"/>
                    <w:szCs w:val="26"/>
                    <w:rtl/>
                  </w:rPr>
                  <w:t>מאשימה</w:t>
                </w:r>
              </w:sdtContent>
            </w:sdt>
          </w:p>
          <w:p w:rsidR="002E14A5" w:rsidRDefault="002E14A5">
            <w:pPr>
              <w:rPr>
                <w:rFonts w:ascii="David" w:hAnsi="David"/>
                <w:sz w:val="26"/>
                <w:szCs w:val="26"/>
              </w:rPr>
            </w:pPr>
          </w:p>
        </w:tc>
        <w:tc>
          <w:tcPr>
            <w:tcW w:w="4678" w:type="dxa"/>
            <w:tcBorders>
              <w:top w:val="nil"/>
              <w:left w:val="nil"/>
              <w:bottom w:val="nil"/>
              <w:right w:val="nil"/>
            </w:tcBorders>
            <w:vAlign w:val="center"/>
          </w:tcPr>
          <w:p w:rsidR="002E14A5" w:rsidRDefault="00105973">
            <w:pPr>
              <w:suppressLineNumbers/>
              <w:rPr>
                <w:rFonts w:ascii="Arial" w:hAnsi="Arial"/>
                <w:b/>
                <w:bCs/>
                <w:sz w:val="26"/>
                <w:szCs w:val="26"/>
              </w:rPr>
            </w:pPr>
            <w:sdt>
              <w:sdtPr>
                <w:rPr>
                  <w:rFonts w:ascii="Arial" w:hAnsi="Arial"/>
                  <w:b/>
                  <w:bCs/>
                  <w:sz w:val="26"/>
                  <w:szCs w:val="26"/>
                  <w:rtl/>
                </w:rPr>
                <w:alias w:val="3151"/>
                <w:tag w:val="3151"/>
                <w:id w:val="-17240797"/>
                <w:placeholder>
                  <w:docPart w:val="A32AA0D48D7641E2987A16A2ED6A1223"/>
                </w:placeholder>
                <w:text w:multiLine="1"/>
              </w:sdtPr>
              <w:sdtEndPr/>
              <w:sdtContent>
                <w:r w:rsidR="002E14A5">
                  <w:rPr>
                    <w:rFonts w:ascii="Arial" w:hAnsi="Arial"/>
                    <w:b/>
                    <w:bCs/>
                    <w:sz w:val="26"/>
                    <w:szCs w:val="26"/>
                    <w:rtl/>
                  </w:rPr>
                  <w:t>מדינת ישראל</w:t>
                </w:r>
              </w:sdtContent>
            </w:sdt>
            <w:r w:rsidR="002E14A5">
              <w:rPr>
                <w:rFonts w:ascii="Arial" w:hAnsi="Arial"/>
                <w:b/>
                <w:bCs/>
                <w:sz w:val="26"/>
                <w:szCs w:val="26"/>
                <w:rtl/>
              </w:rPr>
              <w:t xml:space="preserve"> </w:t>
            </w:r>
          </w:p>
          <w:p w:rsidR="002E14A5" w:rsidRDefault="002E14A5">
            <w:pPr>
              <w:suppressLineNumbers/>
              <w:rPr>
                <w:rFonts w:ascii="Arial" w:hAnsi="Arial"/>
                <w:rtl/>
              </w:rPr>
            </w:pPr>
            <w:r>
              <w:rPr>
                <w:rFonts w:ascii="Arial" w:hAnsi="Arial"/>
                <w:rtl/>
              </w:rPr>
              <w:t>באמצעות פרקליטות מחוז מרכז</w:t>
            </w:r>
          </w:p>
          <w:p w:rsidR="002E14A5" w:rsidRDefault="002E14A5">
            <w:pPr>
              <w:suppressLineNumbers/>
              <w:rPr>
                <w:rtl/>
              </w:rPr>
            </w:pPr>
            <w:r>
              <w:rPr>
                <w:rFonts w:ascii="Arial" w:hAnsi="Arial"/>
                <w:rtl/>
              </w:rPr>
              <w:t>ע"י ב"כ עו"ד</w:t>
            </w:r>
            <w:r>
              <w:rPr>
                <w:rtl/>
              </w:rPr>
              <w:t xml:space="preserve"> רעות אבירי</w:t>
            </w:r>
          </w:p>
          <w:p w:rsidR="002E14A5" w:rsidRDefault="002E14A5">
            <w:pPr>
              <w:rPr>
                <w:rFonts w:ascii="David" w:hAnsi="David"/>
                <w:sz w:val="26"/>
                <w:szCs w:val="26"/>
              </w:rPr>
            </w:pPr>
          </w:p>
        </w:tc>
      </w:tr>
      <w:tr w:rsidR="002E14A5" w:rsidTr="002E14A5">
        <w:trPr>
          <w:trHeight w:val="355"/>
          <w:jc w:val="center"/>
        </w:trPr>
        <w:tc>
          <w:tcPr>
            <w:tcW w:w="923" w:type="dxa"/>
            <w:tcBorders>
              <w:top w:val="nil"/>
              <w:left w:val="nil"/>
              <w:bottom w:val="nil"/>
              <w:right w:val="nil"/>
            </w:tcBorders>
          </w:tcPr>
          <w:p w:rsidR="002E14A5" w:rsidRDefault="002E14A5">
            <w:pPr>
              <w:jc w:val="both"/>
              <w:rPr>
                <w:rFonts w:ascii="David" w:hAnsi="David"/>
                <w:sz w:val="26"/>
                <w:szCs w:val="26"/>
              </w:rPr>
            </w:pPr>
          </w:p>
        </w:tc>
        <w:tc>
          <w:tcPr>
            <w:tcW w:w="7897" w:type="dxa"/>
            <w:gridSpan w:val="2"/>
            <w:tcBorders>
              <w:top w:val="nil"/>
              <w:left w:val="nil"/>
              <w:bottom w:val="nil"/>
              <w:right w:val="nil"/>
            </w:tcBorders>
          </w:tcPr>
          <w:p w:rsidR="002E14A5" w:rsidRDefault="002E14A5">
            <w:pPr>
              <w:jc w:val="center"/>
              <w:rPr>
                <w:rFonts w:ascii="David" w:hAnsi="David"/>
                <w:b/>
                <w:bCs/>
                <w:sz w:val="26"/>
                <w:szCs w:val="26"/>
                <w:rtl/>
              </w:rPr>
            </w:pPr>
          </w:p>
          <w:p w:rsidR="002E14A5" w:rsidRDefault="002E14A5">
            <w:pPr>
              <w:jc w:val="center"/>
              <w:rPr>
                <w:rFonts w:ascii="David" w:hAnsi="David"/>
                <w:b/>
                <w:bCs/>
                <w:sz w:val="26"/>
                <w:szCs w:val="26"/>
                <w:rtl/>
              </w:rPr>
            </w:pPr>
            <w:r>
              <w:rPr>
                <w:rFonts w:ascii="David" w:hAnsi="David"/>
                <w:b/>
                <w:bCs/>
                <w:sz w:val="26"/>
                <w:szCs w:val="26"/>
                <w:rtl/>
              </w:rPr>
              <w:t>נגד</w:t>
            </w:r>
          </w:p>
          <w:p w:rsidR="002E14A5" w:rsidRDefault="002E14A5">
            <w:pPr>
              <w:jc w:val="both"/>
              <w:rPr>
                <w:rFonts w:ascii="David" w:hAnsi="David"/>
                <w:sz w:val="26"/>
                <w:szCs w:val="26"/>
                <w:rtl/>
              </w:rPr>
            </w:pPr>
          </w:p>
        </w:tc>
      </w:tr>
      <w:tr w:rsidR="002E14A5" w:rsidTr="002E14A5">
        <w:trPr>
          <w:trHeight w:val="355"/>
          <w:jc w:val="center"/>
        </w:trPr>
        <w:tc>
          <w:tcPr>
            <w:tcW w:w="923" w:type="dxa"/>
            <w:tcBorders>
              <w:top w:val="nil"/>
              <w:left w:val="nil"/>
              <w:bottom w:val="nil"/>
              <w:right w:val="nil"/>
            </w:tcBorders>
          </w:tcPr>
          <w:p w:rsidR="002E14A5" w:rsidRDefault="002E14A5">
            <w:pPr>
              <w:rPr>
                <w:rFonts w:ascii="David" w:hAnsi="David"/>
                <w:sz w:val="26"/>
                <w:szCs w:val="26"/>
              </w:rPr>
            </w:pPr>
          </w:p>
        </w:tc>
        <w:tc>
          <w:tcPr>
            <w:tcW w:w="3219" w:type="dxa"/>
            <w:tcBorders>
              <w:top w:val="nil"/>
              <w:left w:val="nil"/>
              <w:bottom w:val="nil"/>
              <w:right w:val="nil"/>
            </w:tcBorders>
            <w:hideMark/>
          </w:tcPr>
          <w:p w:rsidR="002E14A5" w:rsidRDefault="002E14A5">
            <w:pPr>
              <w:rPr>
                <w:rFonts w:ascii="Arial" w:hAnsi="Arial"/>
                <w:b/>
                <w:bCs/>
                <w:sz w:val="26"/>
                <w:szCs w:val="26"/>
                <w:rtl/>
              </w:rPr>
            </w:pPr>
            <w:r>
              <w:rPr>
                <w:rFonts w:ascii="Arial" w:hAnsi="Arial"/>
                <w:b/>
                <w:bCs/>
                <w:sz w:val="26"/>
                <w:szCs w:val="26"/>
                <w:rtl/>
              </w:rPr>
              <w:t>ה</w:t>
            </w:r>
            <w:sdt>
              <w:sdtPr>
                <w:rPr>
                  <w:rFonts w:ascii="Arial" w:hAnsi="Arial"/>
                  <w:b/>
                  <w:bCs/>
                  <w:sz w:val="26"/>
                  <w:szCs w:val="26"/>
                  <w:rtl/>
                </w:rPr>
                <w:alias w:val="1184"/>
                <w:tag w:val="1184"/>
                <w:id w:val="-1508059094"/>
                <w:text w:multiLine="1"/>
              </w:sdtPr>
              <w:sdtEndPr/>
              <w:sdtContent>
                <w:r>
                  <w:rPr>
                    <w:rFonts w:ascii="Arial" w:hAnsi="Arial"/>
                    <w:b/>
                    <w:bCs/>
                    <w:sz w:val="26"/>
                    <w:szCs w:val="26"/>
                    <w:rtl/>
                  </w:rPr>
                  <w:t>נאשם</w:t>
                </w:r>
              </w:sdtContent>
            </w:sdt>
          </w:p>
        </w:tc>
        <w:tc>
          <w:tcPr>
            <w:tcW w:w="4678" w:type="dxa"/>
            <w:tcBorders>
              <w:top w:val="nil"/>
              <w:left w:val="nil"/>
              <w:bottom w:val="nil"/>
              <w:right w:val="nil"/>
            </w:tcBorders>
            <w:vAlign w:val="center"/>
          </w:tcPr>
          <w:p w:rsidR="002E14A5" w:rsidRDefault="002E14A5">
            <w:pPr>
              <w:suppressLineNumbers/>
              <w:rPr>
                <w:rFonts w:ascii="Arial" w:hAnsi="Arial"/>
                <w:b/>
                <w:bCs/>
                <w:sz w:val="26"/>
                <w:szCs w:val="26"/>
                <w:rtl/>
              </w:rPr>
            </w:pPr>
            <w:r>
              <w:rPr>
                <w:rFonts w:ascii="Arial" w:hAnsi="Arial"/>
                <w:b/>
                <w:bCs/>
                <w:sz w:val="26"/>
                <w:szCs w:val="26"/>
                <w:rtl/>
              </w:rPr>
              <w:t>פלוני</w:t>
            </w:r>
          </w:p>
          <w:p w:rsidR="002E14A5" w:rsidRDefault="002E14A5">
            <w:pPr>
              <w:suppressLineNumbers/>
              <w:rPr>
                <w:rtl/>
              </w:rPr>
            </w:pPr>
            <w:r>
              <w:rPr>
                <w:rFonts w:ascii="Arial" w:hAnsi="Arial"/>
                <w:rtl/>
              </w:rPr>
              <w:t>ע"י ב"כ עו"ד</w:t>
            </w:r>
            <w:r>
              <w:rPr>
                <w:rtl/>
              </w:rPr>
              <w:t xml:space="preserve"> הרצל יוספי</w:t>
            </w:r>
          </w:p>
          <w:p w:rsidR="002E14A5" w:rsidRDefault="002E14A5">
            <w:pPr>
              <w:rPr>
                <w:rFonts w:ascii="David" w:hAnsi="David"/>
                <w:sz w:val="26"/>
                <w:szCs w:val="26"/>
              </w:rPr>
            </w:pPr>
          </w:p>
        </w:tc>
      </w:tr>
      <w:tr w:rsidR="002E14A5" w:rsidTr="002E14A5">
        <w:trPr>
          <w:trHeight w:val="355"/>
          <w:jc w:val="center"/>
        </w:trPr>
        <w:tc>
          <w:tcPr>
            <w:tcW w:w="923" w:type="dxa"/>
            <w:tcBorders>
              <w:top w:val="nil"/>
              <w:left w:val="nil"/>
              <w:bottom w:val="nil"/>
              <w:right w:val="nil"/>
            </w:tcBorders>
          </w:tcPr>
          <w:p w:rsidR="002E14A5" w:rsidRDefault="002E14A5">
            <w:pPr>
              <w:jc w:val="both"/>
              <w:rPr>
                <w:rFonts w:ascii="David" w:hAnsi="David"/>
                <w:sz w:val="26"/>
                <w:szCs w:val="26"/>
              </w:rPr>
            </w:pPr>
          </w:p>
        </w:tc>
        <w:tc>
          <w:tcPr>
            <w:tcW w:w="3219" w:type="dxa"/>
            <w:tcBorders>
              <w:top w:val="nil"/>
              <w:left w:val="nil"/>
              <w:bottom w:val="nil"/>
              <w:right w:val="nil"/>
            </w:tcBorders>
          </w:tcPr>
          <w:p w:rsidR="002E14A5" w:rsidRDefault="002E14A5">
            <w:pPr>
              <w:jc w:val="both"/>
              <w:rPr>
                <w:rFonts w:ascii="David" w:hAnsi="David"/>
                <w:sz w:val="26"/>
                <w:szCs w:val="26"/>
                <w:rtl/>
              </w:rPr>
            </w:pPr>
          </w:p>
        </w:tc>
        <w:tc>
          <w:tcPr>
            <w:tcW w:w="4678" w:type="dxa"/>
            <w:tcBorders>
              <w:top w:val="nil"/>
              <w:left w:val="nil"/>
              <w:bottom w:val="nil"/>
              <w:right w:val="nil"/>
            </w:tcBorders>
          </w:tcPr>
          <w:p w:rsidR="002E14A5" w:rsidRDefault="002E14A5">
            <w:pPr>
              <w:jc w:val="right"/>
              <w:rPr>
                <w:rFonts w:ascii="David" w:hAnsi="David"/>
                <w:sz w:val="26"/>
                <w:szCs w:val="26"/>
                <w:rtl/>
              </w:rPr>
            </w:pPr>
          </w:p>
        </w:tc>
      </w:tr>
    </w:tbl>
    <w:p w:rsidR="002E14A5" w:rsidRDefault="002E14A5" w:rsidP="002E14A5">
      <w:pPr>
        <w:rPr>
          <w:sz w:val="26"/>
          <w:szCs w:val="26"/>
        </w:rPr>
      </w:pPr>
    </w:p>
    <w:tbl>
      <w:tblPr>
        <w:tblStyle w:val="a9"/>
        <w:bidiVisual/>
        <w:tblW w:w="8820" w:type="dxa"/>
        <w:jc w:val="center"/>
        <w:tblLook w:val="01E0" w:firstRow="1" w:lastRow="1" w:firstColumn="1" w:lastColumn="1" w:noHBand="0" w:noVBand="0"/>
      </w:tblPr>
      <w:tblGrid>
        <w:gridCol w:w="8820"/>
      </w:tblGrid>
      <w:tr w:rsidR="002E14A5" w:rsidTr="002E14A5">
        <w:trPr>
          <w:trHeight w:val="355"/>
          <w:jc w:val="center"/>
        </w:trPr>
        <w:tc>
          <w:tcPr>
            <w:tcW w:w="8820" w:type="dxa"/>
            <w:tcBorders>
              <w:top w:val="nil"/>
              <w:left w:val="nil"/>
              <w:bottom w:val="nil"/>
              <w:right w:val="nil"/>
            </w:tcBorders>
          </w:tcPr>
          <w:p w:rsidR="002E14A5" w:rsidRDefault="002E14A5">
            <w:pPr>
              <w:rPr>
                <w:sz w:val="26"/>
                <w:szCs w:val="26"/>
              </w:rPr>
            </w:pPr>
          </w:p>
          <w:p w:rsidR="002E14A5" w:rsidRDefault="002E14A5">
            <w:pPr>
              <w:jc w:val="center"/>
              <w:rPr>
                <w:b/>
                <w:bCs/>
                <w:sz w:val="26"/>
                <w:szCs w:val="26"/>
                <w:rtl/>
              </w:rPr>
            </w:pPr>
            <w:r>
              <w:rPr>
                <w:b/>
                <w:bCs/>
                <w:sz w:val="26"/>
                <w:szCs w:val="26"/>
                <w:rtl/>
              </w:rPr>
              <w:t xml:space="preserve">נוסח זה של גזר הדין, שאינו כולל פרטים מזהים – מותר בפרסום. </w:t>
            </w:r>
          </w:p>
          <w:p w:rsidR="002E14A5" w:rsidRDefault="002E14A5">
            <w:pPr>
              <w:jc w:val="center"/>
              <w:rPr>
                <w:rFonts w:ascii="David" w:hAnsi="David"/>
                <w:b/>
                <w:bCs/>
                <w:sz w:val="32"/>
                <w:szCs w:val="32"/>
                <w:u w:val="single"/>
              </w:rPr>
            </w:pPr>
          </w:p>
          <w:p w:rsidR="002E14A5" w:rsidRDefault="002E14A5">
            <w:pPr>
              <w:jc w:val="center"/>
              <w:rPr>
                <w:rFonts w:ascii="David" w:hAnsi="David"/>
                <w:sz w:val="32"/>
                <w:szCs w:val="32"/>
                <w:u w:val="single"/>
                <w:rtl/>
              </w:rPr>
            </w:pPr>
            <w:r>
              <w:rPr>
                <w:rFonts w:ascii="David" w:hAnsi="David"/>
                <w:b/>
                <w:bCs/>
                <w:sz w:val="32"/>
                <w:szCs w:val="32"/>
                <w:u w:val="single"/>
                <w:rtl/>
              </w:rPr>
              <w:t>גזר דין</w:t>
            </w:r>
          </w:p>
        </w:tc>
      </w:tr>
    </w:tbl>
    <w:p w:rsidR="002E14A5" w:rsidRDefault="002E14A5" w:rsidP="002E14A5">
      <w:pPr>
        <w:rPr>
          <w:rFonts w:ascii="Arial" w:hAnsi="Arial"/>
          <w:b/>
          <w:bCs/>
          <w:sz w:val="26"/>
          <w:szCs w:val="26"/>
          <w:rtl/>
        </w:rPr>
      </w:pPr>
    </w:p>
    <w:p w:rsidR="002E14A5" w:rsidRDefault="002E14A5" w:rsidP="002E14A5">
      <w:pPr>
        <w:rPr>
          <w:rFonts w:ascii="Arial" w:hAnsi="Arial"/>
          <w:sz w:val="26"/>
          <w:szCs w:val="26"/>
          <w:rtl/>
        </w:rPr>
      </w:pPr>
    </w:p>
    <w:p w:rsidR="002E14A5" w:rsidRDefault="002E14A5" w:rsidP="002E14A5">
      <w:pPr>
        <w:pStyle w:val="ad"/>
        <w:numPr>
          <w:ilvl w:val="0"/>
          <w:numId w:val="1"/>
        </w:numPr>
        <w:spacing w:line="360" w:lineRule="auto"/>
        <w:ind w:left="0" w:hanging="12"/>
        <w:jc w:val="both"/>
        <w:rPr>
          <w:rtl/>
        </w:rPr>
      </w:pPr>
      <w:r>
        <w:rPr>
          <w:rtl/>
        </w:rPr>
        <w:t xml:space="preserve">הנאשם, יליד 1998, הורשע על יסוד הודאתו בעובדות כתב אישום מתוקן, במסגרת הסדר טיעון אשר כלל הסכמה חלקית לעניין העונש, בביצוע העבירות הבאות: </w:t>
      </w:r>
      <w:r>
        <w:rPr>
          <w:u w:val="single"/>
          <w:rtl/>
        </w:rPr>
        <w:t>באישום הראשון:</w:t>
      </w:r>
      <w:r>
        <w:rPr>
          <w:rtl/>
        </w:rPr>
        <w:t xml:space="preserve"> ניסיון למעשה סדום בקטין שטרם מלאו לו 16 שנים, מעשה סדום בקטין שטרם מלאו לו 16 שנים, מעשה מגונה בקטין שטרם מלאו לו 16 שנים. </w:t>
      </w:r>
      <w:r>
        <w:rPr>
          <w:u w:val="single"/>
          <w:rtl/>
        </w:rPr>
        <w:t xml:space="preserve">בכל אחד מן </w:t>
      </w:r>
      <w:proofErr w:type="spellStart"/>
      <w:r>
        <w:rPr>
          <w:u w:val="single"/>
          <w:rtl/>
        </w:rPr>
        <w:t>האישומים</w:t>
      </w:r>
      <w:proofErr w:type="spellEnd"/>
      <w:r>
        <w:rPr>
          <w:u w:val="single"/>
          <w:rtl/>
        </w:rPr>
        <w:t xml:space="preserve"> 5-2:</w:t>
      </w:r>
      <w:r>
        <w:rPr>
          <w:rtl/>
        </w:rPr>
        <w:t xml:space="preserve"> מעשה סדום בקטין שטרם מלאו לו 16 שנים, מעשה מגונה בקטין שטרם מלאו לו 16 שנים.</w:t>
      </w:r>
    </w:p>
    <w:p w:rsidR="002E14A5" w:rsidRDefault="002E14A5" w:rsidP="002E14A5">
      <w:pPr>
        <w:spacing w:line="360" w:lineRule="auto"/>
        <w:jc w:val="both"/>
        <w:rPr>
          <w:rtl/>
        </w:rPr>
      </w:pPr>
    </w:p>
    <w:p w:rsidR="002E14A5" w:rsidRDefault="002E14A5" w:rsidP="002E14A5">
      <w:pPr>
        <w:pStyle w:val="ad"/>
        <w:numPr>
          <w:ilvl w:val="0"/>
          <w:numId w:val="1"/>
        </w:numPr>
        <w:spacing w:line="360" w:lineRule="auto"/>
        <w:ind w:left="0" w:hanging="12"/>
        <w:jc w:val="both"/>
        <w:rPr>
          <w:rtl/>
        </w:rPr>
      </w:pPr>
      <w:r>
        <w:rPr>
          <w:rtl/>
        </w:rPr>
        <w:t>במסגרת ההסדר בין הצדדים הודיעה המאשימה שתעתור לעונש עיקרי של 7.5 שנות מאסר בפועל, ואילו ההגנה תטען כרצונה. עוד הוסכם כי טרם גזר הדין יפקיד הנאשם סך של 50,000 ₪ לטובת פיצוי נפגעי העבירה (הפיצוי הופקד כנדרש) והמאשימה תטען כי הפיצוי צריך להיות גבוה יותר. נוסף על האמור הוסכם כי יתקבלו תסקיר מבחן אודות הנאשם ותסקירי נפגעי עבירה.</w:t>
      </w:r>
    </w:p>
    <w:p w:rsidR="002E14A5" w:rsidRDefault="002E14A5" w:rsidP="002E14A5">
      <w:pPr>
        <w:spacing w:line="360" w:lineRule="auto"/>
        <w:jc w:val="both"/>
        <w:rPr>
          <w:rtl/>
        </w:rPr>
      </w:pPr>
    </w:p>
    <w:p w:rsidR="002E14A5" w:rsidRDefault="002E14A5" w:rsidP="00BF5208">
      <w:pPr>
        <w:pStyle w:val="ad"/>
        <w:numPr>
          <w:ilvl w:val="0"/>
          <w:numId w:val="1"/>
        </w:numPr>
        <w:spacing w:line="360" w:lineRule="auto"/>
        <w:ind w:left="0" w:hanging="12"/>
        <w:jc w:val="both"/>
        <w:rPr>
          <w:rtl/>
        </w:rPr>
      </w:pPr>
      <w:r>
        <w:rPr>
          <w:rtl/>
        </w:rPr>
        <w:t xml:space="preserve">לפי עובדות </w:t>
      </w:r>
      <w:r>
        <w:rPr>
          <w:u w:val="single"/>
          <w:rtl/>
        </w:rPr>
        <w:t>החלק הכללי</w:t>
      </w:r>
      <w:r>
        <w:rPr>
          <w:rtl/>
        </w:rPr>
        <w:t xml:space="preserve"> בכתב האישום המתוקן, מחודש מרץ 2019 ועד לחודש מרץ 2021 עבד הנאשם בחנות אופניים ביישובו </w:t>
      </w:r>
      <w:r w:rsidR="00BF5208">
        <w:rPr>
          <w:rFonts w:hint="cs"/>
          <w:rtl/>
        </w:rPr>
        <w:t>[הושמט]</w:t>
      </w:r>
      <w:r>
        <w:rPr>
          <w:rtl/>
        </w:rPr>
        <w:t xml:space="preserve">. בחודש מרץ 2021 החל הנאשם לעבוד בחנות אופניים שניה ביישוב. במהלך התקופה הרלוונטית לכתב האישום התגורר הנאשם ביחידת דיור הממוקמת בחצר בית הוריו באותו יישוב. </w:t>
      </w:r>
    </w:p>
    <w:p w:rsidR="002E14A5" w:rsidRDefault="002E14A5" w:rsidP="002E14A5">
      <w:pPr>
        <w:pStyle w:val="ad"/>
      </w:pPr>
    </w:p>
    <w:p w:rsidR="002E14A5" w:rsidRDefault="002E14A5" w:rsidP="002E14A5">
      <w:pPr>
        <w:pStyle w:val="ad"/>
        <w:spacing w:line="360" w:lineRule="auto"/>
        <w:ind w:left="0" w:firstLine="720"/>
        <w:jc w:val="both"/>
      </w:pPr>
      <w:r>
        <w:rPr>
          <w:rtl/>
        </w:rPr>
        <w:t xml:space="preserve">הקטינים א.א. </w:t>
      </w:r>
      <w:proofErr w:type="spellStart"/>
      <w:r>
        <w:rPr>
          <w:rtl/>
        </w:rPr>
        <w:t>וב.ב</w:t>
      </w:r>
      <w:proofErr w:type="spellEnd"/>
      <w:r>
        <w:rPr>
          <w:rtl/>
        </w:rPr>
        <w:t>. (ילידי 2007) הם חברים המתגוררים ביישוב. מאז חודש מרץ 2019 החלו השניים לסייע לנאשם בעבודתו בחנויות. הם נהגו להגיע לחנויות האופניים באופן תדיר. עת שהו השניים עם הנאשם בחנויות נהג הנאשם להראות לכל אחד מהם בנפרד סרטוני פורנוגרפיה בטלפון הנייד שלו. בחלק מהמקרים בהם הגיעו לחנויות ביצע בהם הנאשם עבירות מין.</w:t>
      </w:r>
    </w:p>
    <w:p w:rsidR="002E14A5" w:rsidRDefault="002E14A5" w:rsidP="002E14A5">
      <w:pPr>
        <w:pStyle w:val="ad"/>
        <w:spacing w:line="360" w:lineRule="auto"/>
        <w:ind w:left="0" w:firstLine="720"/>
        <w:jc w:val="both"/>
        <w:rPr>
          <w:rtl/>
        </w:rPr>
      </w:pPr>
    </w:p>
    <w:p w:rsidR="002E14A5" w:rsidRDefault="002E14A5" w:rsidP="002E14A5">
      <w:pPr>
        <w:pStyle w:val="ad"/>
        <w:spacing w:line="360" w:lineRule="auto"/>
        <w:ind w:left="0" w:firstLine="720"/>
        <w:jc w:val="both"/>
        <w:rPr>
          <w:rtl/>
        </w:rPr>
      </w:pPr>
      <w:r>
        <w:rPr>
          <w:rtl/>
        </w:rPr>
        <w:t xml:space="preserve">לפי עובדות </w:t>
      </w:r>
      <w:r>
        <w:rPr>
          <w:u w:val="single"/>
          <w:rtl/>
        </w:rPr>
        <w:t>האישום הראשון</w:t>
      </w:r>
      <w:r>
        <w:rPr>
          <w:rtl/>
        </w:rPr>
        <w:t xml:space="preserve">, במהלך חודש אוגוסט 2020 שהה הנאשם יחד עם א.א. בשעות הערב בחנות. לאחר שכלל הלקוחות עזבו את החנות, נעל הנאשם את דלתות החנות, ניתק את מצלמות האבטחה שהיו מותקנות בה, ניגש את שירותי החנות והוציא משם מזרן אותו הניח בחלל החנות. הנאשם התפשט מבגדיו והורה </w:t>
      </w:r>
      <w:proofErr w:type="spellStart"/>
      <w:r>
        <w:rPr>
          <w:rtl/>
        </w:rPr>
        <w:t>לא.א</w:t>
      </w:r>
      <w:proofErr w:type="spellEnd"/>
      <w:r>
        <w:rPr>
          <w:rtl/>
        </w:rPr>
        <w:t>. להתפשט גם כן. א.א. סירב והנאשם הפשיטו ונגע באיבר מינו. בהמשך השכיב הנאשם את א.א. על המזרן כשהוא על בטנו והציג לו סרט פורנוגרפי במכשיר הטלפון שלו. אז ניסה הנאשם להחדיר את איבר מינו לפי הטבעת של הקטין, אך לא הצליח. לכן נטל וזלין שהיה בחנות על מנת למרוח על פי הטבעת של א.א., אך בשל התנגדותו לכך ניסה בשנית ללא וזלין. א.א. הפציר בנאשם שיחדל ממעשיו אך הלה לא שעה לתחנוניו, ובהמשך השכיב את א.א. על גבו והחדיר את איבר מינו לפיו מספר פעמים וכן נגע באיבר מינו של א.א. באמצעות ידיו, עד שהנאשם הגיע לפורקן.</w:t>
      </w:r>
    </w:p>
    <w:p w:rsidR="002E14A5" w:rsidRDefault="002E14A5" w:rsidP="002E14A5">
      <w:pPr>
        <w:pStyle w:val="ad"/>
        <w:spacing w:line="360" w:lineRule="auto"/>
        <w:ind w:left="0" w:firstLine="720"/>
        <w:jc w:val="both"/>
        <w:rPr>
          <w:rtl/>
        </w:rPr>
      </w:pPr>
    </w:p>
    <w:p w:rsidR="002E14A5" w:rsidRDefault="002E14A5" w:rsidP="002E14A5">
      <w:pPr>
        <w:pStyle w:val="ad"/>
        <w:spacing w:line="360" w:lineRule="auto"/>
        <w:ind w:left="0" w:firstLine="720"/>
        <w:jc w:val="both"/>
        <w:rPr>
          <w:rtl/>
        </w:rPr>
      </w:pPr>
      <w:r>
        <w:rPr>
          <w:rtl/>
        </w:rPr>
        <w:t xml:space="preserve">לפי עובדות </w:t>
      </w:r>
      <w:r>
        <w:rPr>
          <w:u w:val="single"/>
          <w:rtl/>
        </w:rPr>
        <w:t>האישום השני</w:t>
      </w:r>
      <w:r>
        <w:rPr>
          <w:rtl/>
        </w:rPr>
        <w:t xml:space="preserve">, ביום 6.10.2021, במהלך חול המועד סוכות, אירח הנאשם בחצר יחידת הדיור מספר קטינים ובני נוער מעירו, ביניהם א.א. שהגיע עם </w:t>
      </w:r>
      <w:proofErr w:type="spellStart"/>
      <w:r>
        <w:rPr>
          <w:rtl/>
        </w:rPr>
        <w:t>הסקייטבורד</w:t>
      </w:r>
      <w:proofErr w:type="spellEnd"/>
      <w:r>
        <w:rPr>
          <w:rtl/>
        </w:rPr>
        <w:t xml:space="preserve"> שלו והמטעֵן ושכח את אלה אצל הנאשם בתום האירוח. למחרת בשעת צהריים חזר א.א. ליחידת הדיור של הנאשם על מנת לקחת את ששכח. הנאשם הורה </w:t>
      </w:r>
      <w:proofErr w:type="spellStart"/>
      <w:r>
        <w:rPr>
          <w:rtl/>
        </w:rPr>
        <w:t>לא.א</w:t>
      </w:r>
      <w:proofErr w:type="spellEnd"/>
      <w:r>
        <w:rPr>
          <w:rtl/>
        </w:rPr>
        <w:t xml:space="preserve">. להיכנס ליחידת הדיור לקחת משם את המטעֵן, ואז סגר אחריו את הדלת ונעל אותה, כיבה את האור וכיסה את א.א. בשמיכה על מיטתו כדי שהוריו של הנאשם לא יבחינו בנוכחותו של א.א. ביחידת הדיור. בהמשך התפשט הנאשם מבגדיו, הפשיט את א.א. והשכיבו על המיטה בחדר, על גבו. הנאשם ניסה לגעת באיבר מינו של א.א., אך זה התנגד למעשיו, ביקש ממנו לחדול מהם וניסה להגן על גופו ולמנוע את המגע. הנאשם תפס בתגובה את ידיו של א.א. בידו האחת ובידו </w:t>
      </w:r>
      <w:proofErr w:type="spellStart"/>
      <w:r>
        <w:rPr>
          <w:rtl/>
        </w:rPr>
        <w:t>השניה</w:t>
      </w:r>
      <w:proofErr w:type="spellEnd"/>
      <w:r>
        <w:rPr>
          <w:rtl/>
        </w:rPr>
        <w:t xml:space="preserve"> שפשף את איבר מינו החשוף של א.א. במשך מספר דקות. אחר זאת אחז הנאשם </w:t>
      </w:r>
      <w:proofErr w:type="spellStart"/>
      <w:r>
        <w:rPr>
          <w:rtl/>
        </w:rPr>
        <w:t>בא.א</w:t>
      </w:r>
      <w:proofErr w:type="spellEnd"/>
      <w:r>
        <w:rPr>
          <w:rtl/>
        </w:rPr>
        <w:t>., השכיבו על בטנו והציבו לפניו כך שפי הטבעת של א.א. הופנה לעבר הנאשם, הוציא ממגירה הסמוכה למיטתו אביזר מין בצורת איבר מין זכרי, והחדיר האביזר מספר פעמים לפי הטבעת של א.א., בעת שהקטין מפציר בו לחדול ממעשיו בשל כאביו. בהמשך החדיר הנאשם מספר פעמים גם את איבר מינו לפי הטבעת של א.א., תוך שהקטין מבקש ממנו לחדול ממעשיו בשל כאביו, וזאת עד שהנאשם בא על סיפוקו.</w:t>
      </w:r>
    </w:p>
    <w:p w:rsidR="002E14A5" w:rsidRDefault="002E14A5" w:rsidP="002E14A5">
      <w:pPr>
        <w:pStyle w:val="ad"/>
        <w:spacing w:line="360" w:lineRule="auto"/>
        <w:ind w:left="0" w:firstLine="720"/>
        <w:jc w:val="both"/>
        <w:rPr>
          <w:rtl/>
        </w:rPr>
      </w:pPr>
    </w:p>
    <w:p w:rsidR="002E14A5" w:rsidRDefault="002E14A5" w:rsidP="002E14A5">
      <w:pPr>
        <w:pStyle w:val="ad"/>
        <w:spacing w:line="360" w:lineRule="auto"/>
        <w:ind w:left="0" w:firstLine="720"/>
        <w:jc w:val="both"/>
        <w:rPr>
          <w:rtl/>
        </w:rPr>
      </w:pPr>
      <w:r>
        <w:rPr>
          <w:rtl/>
        </w:rPr>
        <w:t xml:space="preserve">לפי עובדות </w:t>
      </w:r>
      <w:r>
        <w:rPr>
          <w:u w:val="single"/>
          <w:rtl/>
        </w:rPr>
        <w:t>האישום השלישי</w:t>
      </w:r>
      <w:r>
        <w:rPr>
          <w:rtl/>
        </w:rPr>
        <w:t xml:space="preserve">, במהלך חודש מרץ 2019 סמוך לפורים הגיע בשעות הצהריים ב.ב. לחנות על מנת לתקן את אופניו, ובהמשך שהה בחנות ושיחק בטלפון הנייד של הנאשם שהיה </w:t>
      </w:r>
      <w:r>
        <w:rPr>
          <w:rtl/>
        </w:rPr>
        <w:lastRenderedPageBreak/>
        <w:t xml:space="preserve">עמו. אז נעל הנאשם את דלתות החנות ולקח את הטלפון הנייד מידי ב.ב. בכוח, ניגש את השירותים, הוציא משם מזרן והניחו במרכז החנות. הנאשם התפשט מבגדיו, הפשיט את ב.ב. שניסה להתנגד לכך ומנע ממנו מלהתלבש בחזרה. הנאשם הציג לקטין סרט פורנוגרפי בטלפון הנייד שלו, העמידו כך שיוכל לבעול אותו, והחדיר את איבר מינו לפי הטבעת של ב.ב. מספר פעמים, כשהוא אוחז בקטין בחוזקה ומונע ממנו לזוז. במהלך המתואר זעק ב.ב. מכאב והתחנן שהנאשם יחדל ממעשיו. בהמשך הוציא הנאשם את איבר מינו מפי הטבעת של ב.ב., שפשף את איבר מינו בעזרת ידיו, ושב והחדירו לפי הטבעת של הקטין, עד שבא על סיפוקו. במהלך המתואר הורה הנאשם </w:t>
      </w:r>
      <w:proofErr w:type="spellStart"/>
      <w:r>
        <w:rPr>
          <w:rtl/>
        </w:rPr>
        <w:t>לב.ב</w:t>
      </w:r>
      <w:proofErr w:type="spellEnd"/>
      <w:r>
        <w:rPr>
          <w:rtl/>
        </w:rPr>
        <w:t xml:space="preserve">. לשפשף את איבר מינו שלו, והקטין עשה כן ובהמשך הגיע אף הוא לסיפוק מיני. אחר כל זאת הורה הנאשם </w:t>
      </w:r>
      <w:proofErr w:type="spellStart"/>
      <w:r>
        <w:rPr>
          <w:rtl/>
        </w:rPr>
        <w:t>לב.ב</w:t>
      </w:r>
      <w:proofErr w:type="spellEnd"/>
      <w:r>
        <w:rPr>
          <w:rtl/>
        </w:rPr>
        <w:t>. להתלבש ולעזוב את החנות.</w:t>
      </w:r>
    </w:p>
    <w:p w:rsidR="002E14A5" w:rsidRDefault="002E14A5" w:rsidP="002E14A5">
      <w:pPr>
        <w:pStyle w:val="ad"/>
        <w:spacing w:line="360" w:lineRule="auto"/>
        <w:ind w:left="0" w:firstLine="720"/>
        <w:jc w:val="both"/>
        <w:rPr>
          <w:rtl/>
        </w:rPr>
      </w:pPr>
    </w:p>
    <w:p w:rsidR="002E14A5" w:rsidRDefault="002E14A5" w:rsidP="002E14A5">
      <w:pPr>
        <w:pStyle w:val="ad"/>
        <w:spacing w:line="360" w:lineRule="auto"/>
        <w:ind w:left="0" w:firstLine="720"/>
        <w:jc w:val="both"/>
        <w:rPr>
          <w:rtl/>
        </w:rPr>
      </w:pPr>
      <w:r>
        <w:rPr>
          <w:rtl/>
        </w:rPr>
        <w:t xml:space="preserve">לפי עובדות </w:t>
      </w:r>
      <w:r>
        <w:rPr>
          <w:u w:val="single"/>
          <w:rtl/>
        </w:rPr>
        <w:t>האישום הרביעי</w:t>
      </w:r>
      <w:r>
        <w:rPr>
          <w:rtl/>
        </w:rPr>
        <w:t xml:space="preserve">, כשבועיים לאחר האירוע מושא האישום השלישי, בשעת צהריים, כאשר עבד ב.ב. בחנות, נכנס הנאשם אל החנות ונעל את דלתותיה. אחר זאת ניגש הנאשם לשירותים, הוציא מזרן והניחו בחנות. הנאשם תפס את ב.ב. בידו האחת ובידו השנייה הוריד את מכנסיו ותחתוניו של ב.ב., חרף התנגדות הקטין ותוך שהתחנן שייתן לו ללכת. בהמשך הוריד הנאשם את מכנסיו ותחתוניו שלו והקרין </w:t>
      </w:r>
      <w:proofErr w:type="spellStart"/>
      <w:r>
        <w:rPr>
          <w:rtl/>
        </w:rPr>
        <w:t>לב.ב</w:t>
      </w:r>
      <w:proofErr w:type="spellEnd"/>
      <w:r>
        <w:rPr>
          <w:rtl/>
        </w:rPr>
        <w:t xml:space="preserve">. סרט פורנוגרפי במכשיר הנייד שלו. ב.ב. ביקש מהנאשם שיתיר לו ללכת, אך הנאשם לא שעה לבקשתו, השכיבו על בטנו על המזרון, נשכב עליו והחדיר את איבר מינו לתוך פי הטבעת של ב.ב., תוך שהקטין זעק מכאב וביקש ממנו לחדול ממעשיו. בהמשך הוציא הנאשם את איבר מינו והחל לשפשפו בעזרת ידיו. הנאשם הורה לקטין לשפשף את איבר מינו שלו והאחרון עשה כדבריו עד שהשניים הגיעו לסיפוק מיני. אז הורה הנאשם </w:t>
      </w:r>
      <w:proofErr w:type="spellStart"/>
      <w:r>
        <w:rPr>
          <w:rtl/>
        </w:rPr>
        <w:t>לב.ב</w:t>
      </w:r>
      <w:proofErr w:type="spellEnd"/>
      <w:r>
        <w:rPr>
          <w:rtl/>
        </w:rPr>
        <w:t>. לעזוב את החנות.</w:t>
      </w:r>
    </w:p>
    <w:p w:rsidR="002E14A5" w:rsidRDefault="002E14A5" w:rsidP="002E14A5">
      <w:pPr>
        <w:pStyle w:val="ad"/>
        <w:spacing w:line="360" w:lineRule="auto"/>
        <w:ind w:left="0" w:firstLine="720"/>
        <w:jc w:val="both"/>
        <w:rPr>
          <w:rtl/>
        </w:rPr>
      </w:pPr>
    </w:p>
    <w:p w:rsidR="002E14A5" w:rsidRDefault="002E14A5" w:rsidP="002E14A5">
      <w:pPr>
        <w:pStyle w:val="ad"/>
        <w:spacing w:line="360" w:lineRule="auto"/>
        <w:ind w:left="0" w:firstLine="720"/>
        <w:jc w:val="both"/>
        <w:rPr>
          <w:rtl/>
        </w:rPr>
      </w:pPr>
      <w:r>
        <w:rPr>
          <w:rtl/>
        </w:rPr>
        <w:t xml:space="preserve">לפי עובדות </w:t>
      </w:r>
      <w:r>
        <w:rPr>
          <w:u w:val="single"/>
          <w:rtl/>
        </w:rPr>
        <w:t>האישום החמישי</w:t>
      </w:r>
      <w:r>
        <w:rPr>
          <w:rtl/>
        </w:rPr>
        <w:t xml:space="preserve">, במהלך חודש אוגוסט (כנראה שנת 2019 – ההרכב), הגיע ב.ב. לחנות על מנת לנפח את גלגלי אופניו. עת שהו הנאשם </w:t>
      </w:r>
      <w:proofErr w:type="spellStart"/>
      <w:r>
        <w:rPr>
          <w:rtl/>
        </w:rPr>
        <w:t>וב.ב</w:t>
      </w:r>
      <w:proofErr w:type="spellEnd"/>
      <w:r>
        <w:rPr>
          <w:rtl/>
        </w:rPr>
        <w:t xml:space="preserve">. לבד בחנות תפס הנאשם את ב.ב בכוח בכתפיו והכניסו לחדר השירותים, נעל את דלת חדר השירותים, הוריד לו ולקטין את בגדיהם התחתונים, סובב את ב.ב. בכוח כך שהקטין הופנה אל הקיר וגבו לעבר הנאשם, ואז ירק על ידו, מרח את הרוק על איבר מינו וניסה להחדיר את איבר המין לתוך פי הטבעת של ב.ב. משלא הצליח בכך, הושיב את ב.ב. על האסלה והכניס את איבר מינו לפיו של הקטין מספר פעמים. ב.ב. ניסה לסגור את פיו ולהזיז את הנאשם ממנו, אך הנאשם אחז בו בחוזקה והקטין חש חנק. בהמשך העמיד הנאשם את ב.ב. כשפניו לעבר הקיר, נעמד מאחוריו והחדיר את איבר מינו לתוך פי הטבעת של הקטין מספר פעמים, בעוד ב.ב. זועק ומתחנן כי הנאשם יחדל ממעשיו. בכל פעם </w:t>
      </w:r>
      <w:proofErr w:type="spellStart"/>
      <w:r>
        <w:rPr>
          <w:rtl/>
        </w:rPr>
        <w:t>שב.ב</w:t>
      </w:r>
      <w:proofErr w:type="spellEnd"/>
      <w:r>
        <w:rPr>
          <w:rtl/>
        </w:rPr>
        <w:t xml:space="preserve">. זעק לחץ הנאשם על גבו. מעשי הנאשם גרמו </w:t>
      </w:r>
      <w:proofErr w:type="spellStart"/>
      <w:r>
        <w:rPr>
          <w:rtl/>
        </w:rPr>
        <w:t>לב.ב</w:t>
      </w:r>
      <w:proofErr w:type="spellEnd"/>
      <w:r>
        <w:rPr>
          <w:rtl/>
        </w:rPr>
        <w:t>. כאב רב בפי הטבעת.</w:t>
      </w:r>
    </w:p>
    <w:p w:rsidR="002E14A5" w:rsidRDefault="002E14A5" w:rsidP="002E14A5">
      <w:pPr>
        <w:spacing w:line="360" w:lineRule="auto"/>
        <w:ind w:firstLine="720"/>
        <w:jc w:val="both"/>
        <w:rPr>
          <w:rtl/>
        </w:rPr>
      </w:pPr>
    </w:p>
    <w:p w:rsidR="002E14A5" w:rsidRDefault="002E14A5" w:rsidP="002E14A5">
      <w:pPr>
        <w:pStyle w:val="ad"/>
        <w:rPr>
          <w:rtl/>
        </w:rPr>
      </w:pPr>
    </w:p>
    <w:p w:rsidR="002E14A5" w:rsidRDefault="002E14A5" w:rsidP="002E14A5">
      <w:pPr>
        <w:pStyle w:val="ad"/>
        <w:spacing w:line="360" w:lineRule="auto"/>
        <w:ind w:left="0"/>
        <w:jc w:val="both"/>
        <w:rPr>
          <w:u w:val="single"/>
          <w:rtl/>
        </w:rPr>
      </w:pPr>
      <w:r>
        <w:rPr>
          <w:u w:val="single"/>
          <w:rtl/>
        </w:rPr>
        <w:t>תסקירים</w:t>
      </w:r>
    </w:p>
    <w:p w:rsidR="002E14A5" w:rsidRDefault="002E14A5" w:rsidP="002E14A5">
      <w:pPr>
        <w:pStyle w:val="ad"/>
        <w:numPr>
          <w:ilvl w:val="0"/>
          <w:numId w:val="1"/>
        </w:numPr>
        <w:spacing w:line="360" w:lineRule="auto"/>
        <w:ind w:left="0" w:hanging="12"/>
        <w:jc w:val="both"/>
        <w:rPr>
          <w:rtl/>
        </w:rPr>
      </w:pPr>
      <w:r>
        <w:rPr>
          <w:b/>
          <w:bCs/>
          <w:rtl/>
        </w:rPr>
        <w:lastRenderedPageBreak/>
        <w:t>מתסקיר המבחן שהוגש בעניינו של הנאשם</w:t>
      </w:r>
      <w:r>
        <w:rPr>
          <w:rtl/>
        </w:rPr>
        <w:t xml:space="preserve"> – [הושמט].</w:t>
      </w:r>
    </w:p>
    <w:p w:rsidR="002E14A5" w:rsidRDefault="002E14A5" w:rsidP="002E14A5">
      <w:pPr>
        <w:pStyle w:val="ad"/>
        <w:numPr>
          <w:ilvl w:val="0"/>
          <w:numId w:val="1"/>
        </w:numPr>
        <w:spacing w:line="360" w:lineRule="auto"/>
        <w:ind w:left="0" w:hanging="12"/>
        <w:jc w:val="both"/>
      </w:pPr>
      <w:r>
        <w:rPr>
          <w:b/>
          <w:bCs/>
          <w:rtl/>
        </w:rPr>
        <w:t>מתסקיר הנפגע שהוגש בעניינו של א.א</w:t>
      </w:r>
      <w:r>
        <w:rPr>
          <w:rtl/>
        </w:rPr>
        <w:t xml:space="preserve"> – [הושמט]. </w:t>
      </w:r>
    </w:p>
    <w:p w:rsidR="002E14A5" w:rsidRDefault="002E14A5" w:rsidP="002E14A5">
      <w:pPr>
        <w:pStyle w:val="ad"/>
        <w:numPr>
          <w:ilvl w:val="0"/>
          <w:numId w:val="1"/>
        </w:numPr>
        <w:spacing w:line="360" w:lineRule="auto"/>
        <w:ind w:left="0" w:hanging="12"/>
        <w:jc w:val="both"/>
        <w:rPr>
          <w:rtl/>
        </w:rPr>
      </w:pPr>
      <w:r>
        <w:rPr>
          <w:b/>
          <w:bCs/>
          <w:rtl/>
        </w:rPr>
        <w:t>מתסקיר נפגע העבירה בעניינו של ב.ב</w:t>
      </w:r>
      <w:r>
        <w:rPr>
          <w:rtl/>
        </w:rPr>
        <w:t xml:space="preserve"> – [הושמט].  </w:t>
      </w:r>
    </w:p>
    <w:p w:rsidR="00675AE0" w:rsidRDefault="00675AE0" w:rsidP="002E14A5">
      <w:pPr>
        <w:pStyle w:val="ad"/>
        <w:spacing w:line="360" w:lineRule="auto"/>
        <w:ind w:left="0"/>
        <w:jc w:val="both"/>
        <w:rPr>
          <w:u w:val="single"/>
          <w:rtl/>
        </w:rPr>
      </w:pPr>
    </w:p>
    <w:p w:rsidR="002E14A5" w:rsidRDefault="002E14A5" w:rsidP="002E14A5">
      <w:pPr>
        <w:pStyle w:val="ad"/>
        <w:spacing w:line="360" w:lineRule="auto"/>
        <w:ind w:left="0"/>
        <w:jc w:val="both"/>
        <w:rPr>
          <w:u w:val="single"/>
          <w:rtl/>
        </w:rPr>
      </w:pPr>
      <w:r>
        <w:rPr>
          <w:u w:val="single"/>
          <w:rtl/>
        </w:rPr>
        <w:t>עדים לעונש</w:t>
      </w:r>
    </w:p>
    <w:p w:rsidR="002E14A5" w:rsidRDefault="002E14A5" w:rsidP="002E14A5">
      <w:pPr>
        <w:pStyle w:val="ad"/>
        <w:numPr>
          <w:ilvl w:val="0"/>
          <w:numId w:val="1"/>
        </w:numPr>
        <w:spacing w:line="360" w:lineRule="auto"/>
        <w:ind w:left="0" w:hanging="12"/>
        <w:jc w:val="both"/>
        <w:rPr>
          <w:rtl/>
        </w:rPr>
      </w:pPr>
      <w:r>
        <w:rPr>
          <w:rtl/>
        </w:rPr>
        <w:t xml:space="preserve">אביו של הקטין ב.ב. העיד לפנינו בכאב רב על הפגיעות שנגרמו לבנו. </w:t>
      </w:r>
    </w:p>
    <w:p w:rsidR="002E14A5" w:rsidRDefault="002E14A5" w:rsidP="002E14A5">
      <w:pPr>
        <w:pStyle w:val="ad"/>
        <w:numPr>
          <w:ilvl w:val="0"/>
          <w:numId w:val="1"/>
        </w:numPr>
        <w:spacing w:line="360" w:lineRule="auto"/>
        <w:ind w:left="0" w:hanging="12"/>
        <w:jc w:val="both"/>
      </w:pPr>
      <w:r>
        <w:rPr>
          <w:rtl/>
        </w:rPr>
        <w:t xml:space="preserve">אחות הנאשם – [הושמט]. </w:t>
      </w:r>
    </w:p>
    <w:p w:rsidR="002E14A5" w:rsidRDefault="002E14A5" w:rsidP="002E14A5">
      <w:pPr>
        <w:spacing w:line="360" w:lineRule="auto"/>
        <w:jc w:val="both"/>
      </w:pPr>
    </w:p>
    <w:p w:rsidR="002E14A5" w:rsidRDefault="002E14A5" w:rsidP="002E14A5">
      <w:pPr>
        <w:pStyle w:val="ad"/>
        <w:spacing w:line="360" w:lineRule="auto"/>
        <w:ind w:left="0"/>
        <w:jc w:val="both"/>
        <w:rPr>
          <w:u w:val="single"/>
          <w:rtl/>
        </w:rPr>
      </w:pPr>
      <w:r>
        <w:rPr>
          <w:u w:val="single"/>
          <w:rtl/>
        </w:rPr>
        <w:t>תמצית טיעוני הצדדים</w:t>
      </w:r>
    </w:p>
    <w:p w:rsidR="002E14A5" w:rsidRDefault="002E14A5" w:rsidP="002E14A5">
      <w:pPr>
        <w:pStyle w:val="ad"/>
        <w:numPr>
          <w:ilvl w:val="0"/>
          <w:numId w:val="1"/>
        </w:numPr>
        <w:spacing w:line="360" w:lineRule="auto"/>
        <w:ind w:left="0" w:hanging="12"/>
        <w:jc w:val="both"/>
        <w:rPr>
          <w:rtl/>
        </w:rPr>
      </w:pPr>
      <w:r>
        <w:rPr>
          <w:rtl/>
        </w:rPr>
        <w:t>ב"כ המאשימה, עו"ד רעות אבירי, עתרה לגזור על הנאשם עונש עיקרי של 7.5 שנות מאסר, תוך דחיית המלצת שירות המבחן לשלב את הנאשם בטיפול. לדבריה זהו העונש המתאים לנאשם, בהינתן מכלול נסיבות העניין, לרבות הודאת הנאשם בפתח ישיבת ההוכחות בה אמור היה להעיד אחד הקטינים והקושי להעיד שעמד לפני הקטינים. מנגד נתבקשנו לתת משקל לחומרת המעשים ולתוצאותיהם הקשות, לקטינים ולבני משפחותיהם, ובמסגרת זו גם להשלכות המיוחדות של הפגיעה בילדים השייכים למגזר החרדי, כעולה מן התסקירים שהונחו לפנינו.</w:t>
      </w:r>
    </w:p>
    <w:p w:rsidR="002E14A5" w:rsidRDefault="002E14A5" w:rsidP="002E14A5">
      <w:pPr>
        <w:pStyle w:val="ad"/>
        <w:spacing w:line="360" w:lineRule="auto"/>
        <w:ind w:left="0"/>
        <w:jc w:val="both"/>
      </w:pPr>
    </w:p>
    <w:p w:rsidR="002E14A5" w:rsidRDefault="002E14A5" w:rsidP="002E14A5">
      <w:pPr>
        <w:pStyle w:val="ad"/>
        <w:spacing w:line="360" w:lineRule="auto"/>
        <w:ind w:left="0" w:firstLine="720"/>
        <w:jc w:val="both"/>
      </w:pPr>
      <w:r>
        <w:rPr>
          <w:rtl/>
        </w:rPr>
        <w:t>ב"כ המאשימה עתרה לפיצוי גבוה בהרבה מזה שהופקד על ידי הנאשם כתנאי להסדר (50,000 ₪) והגישה פסיקה לעונש.</w:t>
      </w:r>
    </w:p>
    <w:p w:rsidR="002E14A5" w:rsidRDefault="002E14A5" w:rsidP="002E14A5">
      <w:pPr>
        <w:pStyle w:val="ad"/>
        <w:spacing w:line="360" w:lineRule="auto"/>
        <w:ind w:left="0" w:firstLine="720"/>
        <w:jc w:val="both"/>
        <w:rPr>
          <w:rtl/>
        </w:rPr>
      </w:pPr>
    </w:p>
    <w:p w:rsidR="002E14A5" w:rsidRDefault="002E14A5" w:rsidP="002E14A5">
      <w:pPr>
        <w:pStyle w:val="ad"/>
        <w:numPr>
          <w:ilvl w:val="0"/>
          <w:numId w:val="1"/>
        </w:numPr>
        <w:spacing w:line="360" w:lineRule="auto"/>
        <w:ind w:left="0" w:hanging="12"/>
        <w:jc w:val="both"/>
      </w:pPr>
      <w:r>
        <w:rPr>
          <w:rtl/>
        </w:rPr>
        <w:t xml:space="preserve">ב"כ הנאשם, עו"ד הרצל </w:t>
      </w:r>
      <w:proofErr w:type="spellStart"/>
      <w:r>
        <w:rPr>
          <w:rtl/>
        </w:rPr>
        <w:t>יוספי</w:t>
      </w:r>
      <w:proofErr w:type="spellEnd"/>
      <w:r>
        <w:rPr>
          <w:rtl/>
        </w:rPr>
        <w:t>, עתר לאמץ את המלצת שירות המבחן לשלב את הנאשם בטיפול במסגרת סגורה מחוץ לכלא. הסניגור הפנה לגילו הצעיר של הנאשם, לכך שלא הסתבך עד כה בפלילים, ובעיקר לכך שבעצמו סבל בילדותו מפגיעה מינית שסביר שכתוצאה ממנה נולדו עיוותי החשיבה שהביאו אותו לפגוע באחרים. עוד טען ב"כ הנאשם כי לא רק הנאשם, אלא אף הציבור יצא נשכר מהשמתו של הנאשם במסגרת טיפולית. לחלופין עתר ב"כ הנאשם להסתפק בתקופת מאסר קצרה תוך התחשבות במעצרו של הנאשם. לעניין הפיצוי הפנה הסניגור לכך שלמשפחת הנאשם ולנאשם עצמו אין אמצעים שיאפשרו להם לשלם מעבר לסכום שכבר הופקד כחלק מההסדר.</w:t>
      </w:r>
    </w:p>
    <w:p w:rsidR="002E14A5" w:rsidRDefault="002E14A5" w:rsidP="002E14A5">
      <w:pPr>
        <w:pStyle w:val="ad"/>
        <w:spacing w:line="360" w:lineRule="auto"/>
        <w:ind w:left="0" w:firstLine="720"/>
        <w:jc w:val="both"/>
        <w:rPr>
          <w:rtl/>
        </w:rPr>
      </w:pPr>
    </w:p>
    <w:p w:rsidR="002E14A5" w:rsidRDefault="002E14A5" w:rsidP="002E14A5">
      <w:pPr>
        <w:pStyle w:val="ad"/>
        <w:spacing w:line="360" w:lineRule="auto"/>
        <w:ind w:left="0" w:firstLine="720"/>
        <w:jc w:val="both"/>
      </w:pPr>
      <w:r>
        <w:rPr>
          <w:rtl/>
        </w:rPr>
        <w:t xml:space="preserve">הנאשם בדברו האחרון לעונש הציג תעודות שמעידות על תפקוד תקין בבית הסוהר, ואחר זאת התנצל לפני ב.ב., שנכח באולם, וביקש את סליחתו של א.א. הנאשם ביקש עזרה בפתרון בעיותיו, ביקש להשתלב בטיפול, והתחייב לא לבצע עבירות נוספות. </w:t>
      </w:r>
    </w:p>
    <w:p w:rsidR="002E14A5" w:rsidRDefault="002E14A5" w:rsidP="002E14A5">
      <w:pPr>
        <w:spacing w:line="360" w:lineRule="auto"/>
        <w:jc w:val="both"/>
        <w:rPr>
          <w:rtl/>
        </w:rPr>
      </w:pPr>
    </w:p>
    <w:p w:rsidR="002E14A5" w:rsidRDefault="002E14A5" w:rsidP="002E14A5">
      <w:pPr>
        <w:spacing w:line="360" w:lineRule="auto"/>
        <w:jc w:val="both"/>
        <w:rPr>
          <w:sz w:val="26"/>
          <w:szCs w:val="26"/>
          <w:rtl/>
        </w:rPr>
      </w:pPr>
      <w:r>
        <w:rPr>
          <w:b/>
          <w:bCs/>
          <w:sz w:val="26"/>
          <w:szCs w:val="26"/>
          <w:u w:val="single"/>
          <w:rtl/>
        </w:rPr>
        <w:lastRenderedPageBreak/>
        <w:t>דיון והכרעה</w:t>
      </w:r>
    </w:p>
    <w:p w:rsidR="002E14A5" w:rsidRDefault="002E14A5" w:rsidP="002E14A5">
      <w:pPr>
        <w:pStyle w:val="ad"/>
        <w:numPr>
          <w:ilvl w:val="0"/>
          <w:numId w:val="1"/>
        </w:numPr>
        <w:spacing w:line="360" w:lineRule="auto"/>
        <w:ind w:left="0" w:hanging="12"/>
        <w:jc w:val="both"/>
      </w:pPr>
      <w:r>
        <w:rPr>
          <w:rFonts w:ascii="Arial" w:hAnsi="Arial"/>
          <w:rtl/>
        </w:rPr>
        <w:t xml:space="preserve">במשך תקופה פגע הנאשם מינית באורח חמור בשני ילדים רכים בשנים. הנאשם ניצל את הגעתם של הקטינים לחנויות האופניים בהן עבד, חשף אותם שלא מרצונם לסרטונים פורנוגרפיים וביצע בהם מעשים מיניים קשים, מעשי סדום בפה ובפי הטבעת. </w:t>
      </w:r>
      <w:r>
        <w:rPr>
          <w:rtl/>
        </w:rPr>
        <w:t>את המעשים עשה הנאשם תוך הפעלת כוח כלפי הקטינים, אשר התנגדו להם כמפורט בכתב האישום המתוקן ולא אחת זעקו מכאב.</w:t>
      </w:r>
    </w:p>
    <w:p w:rsidR="002E14A5" w:rsidRDefault="002E14A5" w:rsidP="002E14A5">
      <w:pPr>
        <w:pStyle w:val="ad"/>
        <w:spacing w:line="360" w:lineRule="auto"/>
        <w:ind w:left="0"/>
        <w:jc w:val="both"/>
        <w:rPr>
          <w:rFonts w:ascii="Arial" w:hAnsi="Arial"/>
          <w:rtl/>
        </w:rPr>
      </w:pPr>
    </w:p>
    <w:p w:rsidR="002E14A5" w:rsidRDefault="002E14A5" w:rsidP="002E14A5">
      <w:pPr>
        <w:pStyle w:val="ad"/>
        <w:spacing w:line="360" w:lineRule="auto"/>
        <w:ind w:left="0" w:firstLine="720"/>
        <w:jc w:val="both"/>
      </w:pPr>
      <w:r>
        <w:rPr>
          <w:rFonts w:ascii="Arial" w:hAnsi="Arial"/>
          <w:rtl/>
        </w:rPr>
        <w:t>הנאשם תכנן היטב את פגיעותיו בקטינים. הוא נעל את הקטינים בחנויות (ופעם אחת ביחידת הדיור שלו), הצטייד באמצעים שיקלו עליו לבצע את זממו (מזרן, וזלין ואביזר מין) ודאג לתנאים שיקשו על חשיפת הפגיעות.</w:t>
      </w:r>
      <w:r>
        <w:rPr>
          <w:rtl/>
        </w:rPr>
        <w:t xml:space="preserve"> הנאשם אף ניצל את היות הקטינים ילדים חסרי ניסיון שגדלו במשפחות חרדיות, ואת חששם מפני השלכות גילוי הפגיעות, כדי להקל על המעשים החמורים שעשה בהם.</w:t>
      </w:r>
    </w:p>
    <w:p w:rsidR="002E14A5" w:rsidRDefault="002E14A5" w:rsidP="002E14A5">
      <w:pPr>
        <w:pStyle w:val="ad"/>
        <w:spacing w:line="360" w:lineRule="auto"/>
        <w:ind w:left="0"/>
        <w:jc w:val="both"/>
        <w:rPr>
          <w:rtl/>
        </w:rPr>
      </w:pPr>
    </w:p>
    <w:p w:rsidR="002E14A5" w:rsidRDefault="002E14A5" w:rsidP="002E14A5">
      <w:pPr>
        <w:pStyle w:val="ad"/>
        <w:numPr>
          <w:ilvl w:val="0"/>
          <w:numId w:val="1"/>
        </w:numPr>
        <w:spacing w:line="360" w:lineRule="auto"/>
        <w:ind w:left="0" w:hanging="12"/>
        <w:jc w:val="both"/>
      </w:pPr>
      <w:r>
        <w:rPr>
          <w:rtl/>
        </w:rPr>
        <w:t xml:space="preserve">מעשים אלו שביצע הנאשם בנפגעי העבירה הם חמורים ביותר, ונמצאים ברף הגבוה של עבירות המין שניתן לבצע בקורבנות זכרים. הם בוצעו כלפי שני קורבנות, ונפגעי העבירה הם כאמור ילדים רכים בשנים. </w:t>
      </w:r>
    </w:p>
    <w:p w:rsidR="002E14A5" w:rsidRDefault="002E14A5" w:rsidP="002E14A5">
      <w:pPr>
        <w:pStyle w:val="ad"/>
        <w:spacing w:line="360" w:lineRule="auto"/>
        <w:ind w:left="0"/>
        <w:jc w:val="both"/>
      </w:pPr>
    </w:p>
    <w:p w:rsidR="002E14A5" w:rsidRDefault="002E14A5" w:rsidP="002E14A5">
      <w:pPr>
        <w:pStyle w:val="ad"/>
        <w:spacing w:line="360" w:lineRule="auto"/>
        <w:ind w:left="0"/>
        <w:jc w:val="both"/>
        <w:rPr>
          <w:b/>
          <w:bCs/>
          <w:u w:val="single"/>
        </w:rPr>
      </w:pPr>
      <w:r>
        <w:rPr>
          <w:b/>
          <w:bCs/>
          <w:u w:val="single"/>
          <w:rtl/>
        </w:rPr>
        <w:t>מתחמי העונש ההולמים את מעשיו של הנאשם</w:t>
      </w:r>
    </w:p>
    <w:p w:rsidR="002E14A5" w:rsidRDefault="002E14A5" w:rsidP="002E14A5">
      <w:pPr>
        <w:pStyle w:val="ad"/>
        <w:numPr>
          <w:ilvl w:val="0"/>
          <w:numId w:val="1"/>
        </w:numPr>
        <w:spacing w:line="360" w:lineRule="auto"/>
        <w:ind w:left="0" w:hanging="12"/>
        <w:jc w:val="both"/>
        <w:rPr>
          <w:rtl/>
        </w:rPr>
      </w:pPr>
      <w:r>
        <w:rPr>
          <w:rtl/>
        </w:rPr>
        <w:t>הצדדים לא עתרו לקבוע במקרה זה מתחם או מתחמי עונש הולמים, ואולם בהתאם לפסיקת בית המשפט העליון עלינו לעשות כן, על מנת לבחון את סבירותו של הסדר הטיעון וכן את העונש הראוי לנאשם.</w:t>
      </w:r>
    </w:p>
    <w:p w:rsidR="002E14A5" w:rsidRDefault="002E14A5" w:rsidP="002E14A5">
      <w:pPr>
        <w:pStyle w:val="ad"/>
      </w:pPr>
    </w:p>
    <w:p w:rsidR="002E14A5" w:rsidRDefault="002E14A5" w:rsidP="002E14A5">
      <w:pPr>
        <w:pStyle w:val="ad"/>
        <w:numPr>
          <w:ilvl w:val="0"/>
          <w:numId w:val="1"/>
        </w:numPr>
        <w:spacing w:line="360" w:lineRule="auto"/>
        <w:ind w:left="0" w:hanging="12"/>
        <w:jc w:val="both"/>
      </w:pPr>
      <w:r>
        <w:rPr>
          <w:rtl/>
        </w:rPr>
        <w:t xml:space="preserve">הערכים המוגנים העומדים בבסיס המעשים שביצע הנאשם הם שלמות הגוף, חופש הרצון, והזכות למיניות ולהתפתחות מינית בריאה. </w:t>
      </w:r>
    </w:p>
    <w:p w:rsidR="002E14A5" w:rsidRDefault="002E14A5" w:rsidP="002E14A5">
      <w:pPr>
        <w:pStyle w:val="ad"/>
        <w:rPr>
          <w:rtl/>
        </w:rPr>
      </w:pPr>
    </w:p>
    <w:p w:rsidR="002E14A5" w:rsidRDefault="002E14A5" w:rsidP="002E14A5">
      <w:pPr>
        <w:pStyle w:val="ad"/>
        <w:numPr>
          <w:ilvl w:val="0"/>
          <w:numId w:val="1"/>
        </w:numPr>
        <w:spacing w:line="360" w:lineRule="auto"/>
        <w:ind w:left="0" w:hanging="12"/>
        <w:jc w:val="both"/>
      </w:pPr>
      <w:r>
        <w:rPr>
          <w:rtl/>
        </w:rPr>
        <w:t xml:space="preserve">מעשי הנאשם כוונו כלפי קורבנות שונים, כל אחד מהם עולם ומלואו. חרף הדמיון בין סוגי הפגיעות המיניות שביצע הנאשם בכל אחד מקורבנותיו הם אינם קשורים זה בזה. על כן מן הראוי לקבוע מתחם עונש הולם נפרד ביחס למכלול המעשים שבוצעו בכל נפגע (ראו ע"פ 1605/13 </w:t>
      </w:r>
      <w:r>
        <w:rPr>
          <w:b/>
          <w:bCs/>
          <w:rtl/>
        </w:rPr>
        <w:t xml:space="preserve">פלוני נ' מדינת ישראל </w:t>
      </w:r>
      <w:r>
        <w:rPr>
          <w:rtl/>
        </w:rPr>
        <w:t xml:space="preserve">(27.8.2014) (פיסקה 18) וע"פ 2240/21 </w:t>
      </w:r>
      <w:r>
        <w:rPr>
          <w:b/>
          <w:bCs/>
          <w:rtl/>
        </w:rPr>
        <w:t>מדינת ישראל נ' שחר</w:t>
      </w:r>
      <w:r>
        <w:rPr>
          <w:rtl/>
        </w:rPr>
        <w:t xml:space="preserve"> (8.11.2021) (פיסקה 13)).</w:t>
      </w:r>
    </w:p>
    <w:p w:rsidR="002E14A5" w:rsidRDefault="002E14A5" w:rsidP="002E14A5">
      <w:pPr>
        <w:pStyle w:val="ad"/>
        <w:spacing w:line="360" w:lineRule="auto"/>
        <w:ind w:left="0" w:firstLine="720"/>
        <w:jc w:val="both"/>
        <w:rPr>
          <w:rtl/>
        </w:rPr>
      </w:pPr>
    </w:p>
    <w:p w:rsidR="002E14A5" w:rsidRDefault="002E14A5" w:rsidP="002E14A5">
      <w:pPr>
        <w:pStyle w:val="ad"/>
        <w:numPr>
          <w:ilvl w:val="0"/>
          <w:numId w:val="1"/>
        </w:numPr>
        <w:spacing w:line="360" w:lineRule="auto"/>
        <w:ind w:left="0" w:hanging="12"/>
        <w:jc w:val="both"/>
      </w:pPr>
      <w:r>
        <w:rPr>
          <w:rFonts w:ascii="David" w:hAnsi="David"/>
          <w:color w:val="000000"/>
          <w:rtl/>
        </w:rPr>
        <w:lastRenderedPageBreak/>
        <w:t>רמת הענישה הנוהגת בתחום עבירות המין בקטינים מגוונת, אך בכל מקרה כאשר הפגיעה היא פגיעה חוזרת בקטינים, ובוודאי כאשר היא נעשית בכוח וביותר מנפגע אחד, הענישה כוללת רכיב של מאסר בפועל לתקופה משמעותית:</w:t>
      </w:r>
    </w:p>
    <w:p w:rsidR="002E14A5" w:rsidRDefault="002E14A5" w:rsidP="002E14A5">
      <w:pPr>
        <w:pStyle w:val="ad"/>
        <w:rPr>
          <w:rFonts w:ascii="David" w:hAnsi="David"/>
          <w:color w:val="000000"/>
          <w:rtl/>
        </w:rPr>
      </w:pPr>
    </w:p>
    <w:p w:rsidR="002E14A5" w:rsidRDefault="002E14A5" w:rsidP="002E14A5">
      <w:pPr>
        <w:pStyle w:val="ad"/>
        <w:spacing w:line="360" w:lineRule="auto"/>
        <w:ind w:left="0" w:firstLine="720"/>
        <w:jc w:val="both"/>
        <w:rPr>
          <w:rFonts w:ascii="David" w:hAnsi="David"/>
          <w:color w:val="000000"/>
        </w:rPr>
      </w:pPr>
      <w:r>
        <w:rPr>
          <w:rFonts w:ascii="David" w:hAnsi="David"/>
          <w:color w:val="000000"/>
          <w:rtl/>
        </w:rPr>
        <w:t xml:space="preserve">כך למשל, בע"פ 7057/17 </w:t>
      </w:r>
      <w:r>
        <w:rPr>
          <w:rFonts w:ascii="David" w:hAnsi="David"/>
          <w:b/>
          <w:bCs/>
          <w:color w:val="000000"/>
          <w:rtl/>
        </w:rPr>
        <w:t>פלוני נ' מדינת ישראל</w:t>
      </w:r>
      <w:r>
        <w:rPr>
          <w:rFonts w:ascii="David" w:hAnsi="David"/>
          <w:color w:val="000000"/>
          <w:rtl/>
        </w:rPr>
        <w:t xml:space="preserve"> (22.1.2019) נדחה ערעור על גזר דין של 9 שנות מאסר שהושתו על אדם מבוגר שהורשע לאחר שמיעת ראיות בכך שביצע מספר רב של מעשי אונס ומעשי סדום כלפי ילדה בת 12.5 בלא שהפעיל אלימות כלפיה; </w:t>
      </w:r>
    </w:p>
    <w:p w:rsidR="002E14A5" w:rsidRDefault="002E14A5" w:rsidP="002E14A5">
      <w:pPr>
        <w:pStyle w:val="ad"/>
        <w:spacing w:line="360" w:lineRule="auto"/>
        <w:ind w:left="0" w:firstLine="720"/>
        <w:jc w:val="both"/>
        <w:rPr>
          <w:rFonts w:ascii="David" w:hAnsi="David"/>
          <w:color w:val="000000"/>
          <w:rtl/>
        </w:rPr>
      </w:pPr>
    </w:p>
    <w:p w:rsidR="002E14A5" w:rsidRDefault="002E14A5" w:rsidP="002E14A5">
      <w:pPr>
        <w:pStyle w:val="ad"/>
        <w:spacing w:line="360" w:lineRule="auto"/>
        <w:ind w:left="0" w:firstLine="720"/>
        <w:jc w:val="both"/>
        <w:rPr>
          <w:rtl/>
        </w:rPr>
      </w:pPr>
      <w:r>
        <w:rPr>
          <w:rFonts w:ascii="David" w:hAnsi="David"/>
          <w:color w:val="000000"/>
          <w:rtl/>
        </w:rPr>
        <w:t xml:space="preserve">בע"פ 5936/13 </w:t>
      </w:r>
      <w:r>
        <w:rPr>
          <w:rFonts w:ascii="David" w:hAnsi="David"/>
          <w:b/>
          <w:bCs/>
          <w:color w:val="000000"/>
          <w:rtl/>
        </w:rPr>
        <w:t>פלוני נ' מדינת ישראל</w:t>
      </w:r>
      <w:r>
        <w:rPr>
          <w:rFonts w:ascii="David" w:hAnsi="David"/>
          <w:color w:val="000000"/>
          <w:rtl/>
        </w:rPr>
        <w:t xml:space="preserve"> (14.1.2015) נדחה ערעורו של נאשם, שהורשע על פי הודאתו, בכך </w:t>
      </w:r>
      <w:proofErr w:type="spellStart"/>
      <w:r>
        <w:rPr>
          <w:rFonts w:ascii="David" w:hAnsi="David"/>
          <w:color w:val="000000"/>
          <w:rtl/>
        </w:rPr>
        <w:t>שבהיותו</w:t>
      </w:r>
      <w:proofErr w:type="spellEnd"/>
      <w:r>
        <w:rPr>
          <w:rFonts w:ascii="David" w:hAnsi="David"/>
          <w:color w:val="000000"/>
          <w:rtl/>
        </w:rPr>
        <w:t xml:space="preserve"> כבן 26 נפגש שלוש פעמים עם קטין כבן 11 וביצע בו חמש עבירות של מעשים מגונים וניסיון למעשה סדום. המעשים, שהינם קלים משמעותית מן המעשים בביצועם הורשע הנאשם כאן, לא בוצעו תוך הפעלת כוח, ואותו מערער נדון לעונש עיקרי של 5 שנות מאסר בפועל; </w:t>
      </w:r>
    </w:p>
    <w:p w:rsidR="002E14A5" w:rsidRDefault="002E14A5" w:rsidP="002E14A5">
      <w:pPr>
        <w:pStyle w:val="ad"/>
        <w:spacing w:line="360" w:lineRule="auto"/>
        <w:ind w:left="0" w:firstLine="720"/>
        <w:jc w:val="both"/>
        <w:rPr>
          <w:rtl/>
        </w:rPr>
      </w:pPr>
    </w:p>
    <w:p w:rsidR="002E14A5" w:rsidRDefault="002E14A5" w:rsidP="002E14A5">
      <w:pPr>
        <w:pStyle w:val="ad"/>
        <w:spacing w:line="360" w:lineRule="auto"/>
        <w:ind w:left="0" w:firstLine="720"/>
        <w:jc w:val="both"/>
        <w:rPr>
          <w:rtl/>
        </w:rPr>
      </w:pPr>
      <w:r>
        <w:rPr>
          <w:rtl/>
        </w:rPr>
        <w:t xml:space="preserve">בע"פ 2790/13 </w:t>
      </w:r>
      <w:r>
        <w:rPr>
          <w:b/>
          <w:bCs/>
          <w:rtl/>
        </w:rPr>
        <w:t>פלוני נ' מדינת ישראל</w:t>
      </w:r>
      <w:r>
        <w:rPr>
          <w:rtl/>
        </w:rPr>
        <w:t xml:space="preserve"> (8.9.2014), נדחה ערעורו של צעיר כבן 22 שהורשע, לאחר שמיעת ראיות, בכך שביצע שלוש פגיעות מיניות בילדה כבת 9, כאשר רק שניים מהמקרים דומים בחומרתם למעשים בהם הודה הנאשם כאן והשלישי קל מהם, ונדון ל-14 שנות מאסר בפועל; </w:t>
      </w:r>
    </w:p>
    <w:p w:rsidR="002E14A5" w:rsidRDefault="002E14A5" w:rsidP="002E14A5">
      <w:pPr>
        <w:pStyle w:val="ad"/>
        <w:spacing w:line="360" w:lineRule="auto"/>
        <w:ind w:left="0" w:firstLine="720"/>
        <w:jc w:val="both"/>
        <w:rPr>
          <w:rtl/>
        </w:rPr>
      </w:pPr>
    </w:p>
    <w:p w:rsidR="002E14A5" w:rsidRDefault="002E14A5" w:rsidP="002E14A5">
      <w:pPr>
        <w:pStyle w:val="ad"/>
        <w:spacing w:line="360" w:lineRule="auto"/>
        <w:ind w:left="0" w:firstLine="720"/>
        <w:jc w:val="both"/>
        <w:rPr>
          <w:rtl/>
        </w:rPr>
      </w:pPr>
      <w:r>
        <w:rPr>
          <w:rtl/>
        </w:rPr>
        <w:t xml:space="preserve">בע"פ 6826/19 </w:t>
      </w:r>
      <w:r>
        <w:rPr>
          <w:b/>
          <w:bCs/>
          <w:rtl/>
        </w:rPr>
        <w:t xml:space="preserve">שרגאי נ' מדינת ישראל </w:t>
      </w:r>
      <w:r>
        <w:rPr>
          <w:rtl/>
        </w:rPr>
        <w:t xml:space="preserve">(14.2.22) נדחה ערעורו של נאשם שהורשע, לאחר שמיעת ראיות, בביצוע מעשי סדום בשלושה אחים קטינים, במקווה, במספר רב של הזדמנויות, והוטל עליו עונש של 10 שנות מאסר בפועל. בית המשפט המחוזי קבע מתחמי ענישה של 10-4 שנות מאסר (באישום הראשון), 7-3 שנות מאסר (באישום השני) ו-4-1 שנות מאסר (באישום השלישי). </w:t>
      </w:r>
    </w:p>
    <w:p w:rsidR="002E14A5" w:rsidRDefault="002E14A5" w:rsidP="002E14A5">
      <w:pPr>
        <w:pStyle w:val="ad"/>
        <w:spacing w:line="360" w:lineRule="auto"/>
        <w:ind w:left="0" w:firstLine="720"/>
        <w:jc w:val="both"/>
        <w:rPr>
          <w:rtl/>
        </w:rPr>
      </w:pPr>
    </w:p>
    <w:p w:rsidR="002E14A5" w:rsidRDefault="002E14A5" w:rsidP="002E14A5">
      <w:pPr>
        <w:pStyle w:val="ad"/>
        <w:spacing w:line="360" w:lineRule="auto"/>
        <w:ind w:left="0" w:firstLine="720"/>
        <w:jc w:val="both"/>
        <w:rPr>
          <w:rtl/>
        </w:rPr>
      </w:pPr>
      <w:r>
        <w:rPr>
          <w:rtl/>
        </w:rPr>
        <w:t xml:space="preserve">ובע"פ 8430/20 </w:t>
      </w:r>
      <w:r>
        <w:rPr>
          <w:b/>
          <w:bCs/>
          <w:rtl/>
        </w:rPr>
        <w:t>עמר נ' מדינת ישראל</w:t>
      </w:r>
      <w:r>
        <w:rPr>
          <w:rtl/>
        </w:rPr>
        <w:t xml:space="preserve"> (25.11.2021) נדחה ערעורו של צעיר בשנות ה-20 לחייו שביצע בשני קטינים, בני 13-12, מעשים דומים למדַי למעשים שביצע הנאשם בהליך שלפנינו, ונדון, לאחר שמיעת ראיות, לעונש של 7 שנות מאסר ו-4 חודשים, תוך שבית המשפט העליון הביע דעתו כי העונש מקל עם אותו מערער ולולא חלוף הזמן היה מקום לגזור עליו עונש חמור יותר. בית המשפט המחוזי קבע מתחמים שבין 6 ל-12 שנות מאסר לאישום הראשון, ובין 5 ל-7 שנות מאסר לאישום השני. </w:t>
      </w:r>
    </w:p>
    <w:p w:rsidR="002E14A5" w:rsidRDefault="002E14A5" w:rsidP="002E14A5">
      <w:pPr>
        <w:pStyle w:val="ad"/>
        <w:spacing w:line="360" w:lineRule="auto"/>
        <w:ind w:left="0" w:firstLine="720"/>
        <w:jc w:val="both"/>
        <w:rPr>
          <w:rtl/>
        </w:rPr>
      </w:pPr>
    </w:p>
    <w:p w:rsidR="002E14A5" w:rsidRDefault="002E14A5" w:rsidP="002E14A5">
      <w:pPr>
        <w:pStyle w:val="ad"/>
        <w:numPr>
          <w:ilvl w:val="0"/>
          <w:numId w:val="1"/>
        </w:numPr>
        <w:spacing w:line="360" w:lineRule="auto"/>
        <w:ind w:left="0" w:hanging="12"/>
        <w:jc w:val="both"/>
        <w:rPr>
          <w:rtl/>
        </w:rPr>
      </w:pPr>
      <w:r>
        <w:rPr>
          <w:b/>
          <w:bCs/>
          <w:rtl/>
        </w:rPr>
        <w:t>נוכח כל האמור לעיל אנו סבורים כי מתחם העונש ההולם את מעשי הנאשם כלפי כל אחד מן הקטינים נע בין 6 ל-10 שנות מאסר בפועל, כעונש עיקרי</w:t>
      </w:r>
      <w:r>
        <w:rPr>
          <w:rtl/>
        </w:rPr>
        <w:t xml:space="preserve">. </w:t>
      </w:r>
    </w:p>
    <w:p w:rsidR="002E14A5" w:rsidRDefault="002E14A5" w:rsidP="002E14A5">
      <w:pPr>
        <w:pStyle w:val="ad"/>
        <w:spacing w:line="360" w:lineRule="auto"/>
        <w:ind w:left="0"/>
        <w:jc w:val="both"/>
        <w:rPr>
          <w:rtl/>
        </w:rPr>
      </w:pPr>
    </w:p>
    <w:p w:rsidR="002E14A5" w:rsidRDefault="002E14A5" w:rsidP="002E14A5">
      <w:pPr>
        <w:pStyle w:val="ad"/>
        <w:spacing w:line="360" w:lineRule="auto"/>
        <w:ind w:left="0"/>
        <w:jc w:val="both"/>
        <w:rPr>
          <w:b/>
          <w:bCs/>
          <w:u w:val="single"/>
          <w:rtl/>
        </w:rPr>
      </w:pPr>
      <w:r>
        <w:rPr>
          <w:b/>
          <w:bCs/>
          <w:u w:val="single"/>
          <w:rtl/>
        </w:rPr>
        <w:t>קביעת עונשו של הנאשם</w:t>
      </w:r>
    </w:p>
    <w:p w:rsidR="002E14A5" w:rsidRDefault="002E14A5" w:rsidP="002E14A5">
      <w:pPr>
        <w:pStyle w:val="ad"/>
        <w:numPr>
          <w:ilvl w:val="0"/>
          <w:numId w:val="1"/>
        </w:numPr>
        <w:spacing w:line="360" w:lineRule="auto"/>
        <w:ind w:left="0" w:hanging="12"/>
        <w:jc w:val="both"/>
        <w:rPr>
          <w:rtl/>
        </w:rPr>
      </w:pPr>
      <w:r>
        <w:rPr>
          <w:rtl/>
        </w:rPr>
        <w:lastRenderedPageBreak/>
        <w:t xml:space="preserve">ב"כ הנאשם ביקש לשכנענו לקבל את המלצת שירות המבחן, ולהורות על שחרור הנאשם ממעצר לטובת הליך טיפולי-שיקומי במסגרת "מעגלים". לבקשה זו אין ביכולתנו להיעתר. </w:t>
      </w:r>
    </w:p>
    <w:p w:rsidR="002E14A5" w:rsidRDefault="002E14A5" w:rsidP="002E14A5">
      <w:pPr>
        <w:pStyle w:val="ad"/>
      </w:pPr>
    </w:p>
    <w:p w:rsidR="002E14A5" w:rsidRDefault="002E14A5" w:rsidP="002E14A5">
      <w:pPr>
        <w:pStyle w:val="ad"/>
        <w:spacing w:line="360" w:lineRule="auto"/>
        <w:ind w:left="0" w:firstLine="720"/>
        <w:jc w:val="both"/>
      </w:pPr>
      <w:r>
        <w:rPr>
          <w:rtl/>
        </w:rPr>
        <w:t xml:space="preserve">הנאשם הורשע בביצוע מעשים חמורים ברף גבוה כלפי שני קטינים. על פי תסקיר שירות המבחן קיימת רמת סיכון להישנות ביצוע עבירות מין על ידי הנאשם. לא שוכנענו כי בנסיבות המקרה יהיה בשחרורו להוסטל "מעגלים" כדי לאיין את מסוכנותו, ולא שוכנענו כי יש במסגרת האמורה כדי להלום את נתוני הנאשם. בהקשר זה יצוין כי כפי שעולה מתסקיר שירות המבחן המסגרת הטיפולית "מעגלים" אף אינה מהווה חלופת מעצר (ראו </w:t>
      </w:r>
      <w:proofErr w:type="spellStart"/>
      <w:r>
        <w:rPr>
          <w:rtl/>
        </w:rPr>
        <w:t>בש"פ</w:t>
      </w:r>
      <w:proofErr w:type="spellEnd"/>
      <w:r>
        <w:rPr>
          <w:rtl/>
        </w:rPr>
        <w:t xml:space="preserve"> 5131/21 </w:t>
      </w:r>
      <w:r>
        <w:rPr>
          <w:b/>
          <w:bCs/>
          <w:rtl/>
        </w:rPr>
        <w:t xml:space="preserve">פלוני נ' מדינת ישראל </w:t>
      </w:r>
      <w:r>
        <w:rPr>
          <w:rtl/>
        </w:rPr>
        <w:t xml:space="preserve">(1.8.2021)). </w:t>
      </w:r>
    </w:p>
    <w:p w:rsidR="002E14A5" w:rsidRDefault="002E14A5" w:rsidP="002E14A5">
      <w:pPr>
        <w:pStyle w:val="ad"/>
        <w:spacing w:line="360" w:lineRule="auto"/>
        <w:ind w:left="0" w:firstLine="720"/>
        <w:jc w:val="both"/>
        <w:rPr>
          <w:rtl/>
        </w:rPr>
      </w:pPr>
    </w:p>
    <w:p w:rsidR="002E14A5" w:rsidRDefault="002E14A5" w:rsidP="002E14A5">
      <w:pPr>
        <w:pStyle w:val="ad"/>
        <w:spacing w:line="360" w:lineRule="auto"/>
        <w:ind w:left="0" w:firstLine="720"/>
        <w:jc w:val="both"/>
        <w:rPr>
          <w:rtl/>
        </w:rPr>
      </w:pPr>
      <w:r>
        <w:rPr>
          <w:rtl/>
        </w:rPr>
        <w:t xml:space="preserve">כמו כן, לא שוכנענו כי קיימת הצדקה לחרוג ממתחם העונש ההולם. מעשי הנאשם חמורים ביותר וגרמו לתוצאות קשות מאוד לילדים רכים בשנים. הם בוצעו בכוח והסבו לקורבנותיהם כאב פיזי. הנאשם תכנן את מעשיו. הנאשם לא שולב בשום הליך טיפולי, וכאמור לעיל עדיין קיימת מסוכנות ממשית ממנו, כך שלא ניתן לקבוע שהנאשם השתקם או שקיים סיכוי של ממש שישתקם. </w:t>
      </w:r>
    </w:p>
    <w:p w:rsidR="002E14A5" w:rsidRDefault="002E14A5" w:rsidP="002E14A5">
      <w:pPr>
        <w:pStyle w:val="ad"/>
        <w:spacing w:line="360" w:lineRule="auto"/>
        <w:ind w:left="0" w:firstLine="720"/>
        <w:jc w:val="both"/>
        <w:rPr>
          <w:rtl/>
        </w:rPr>
      </w:pPr>
    </w:p>
    <w:p w:rsidR="002E14A5" w:rsidRDefault="002E14A5" w:rsidP="002E14A5">
      <w:pPr>
        <w:pStyle w:val="ad"/>
        <w:spacing w:line="360" w:lineRule="auto"/>
        <w:ind w:left="0" w:firstLine="720"/>
        <w:jc w:val="both"/>
        <w:rPr>
          <w:rtl/>
        </w:rPr>
      </w:pPr>
      <w:r>
        <w:rPr>
          <w:rtl/>
        </w:rPr>
        <w:t>זאת ועוד, מדובר במקרה שבו מעשי העבירה ומידת האשם הם בעלי חומרה יתרה, באופן אשר אינו מצדיק אף הוא חריגה מהמתחם, בהתאם להוראת סעיף 34ד(ב) לחוק העונשין, התשל"ז-1977, הקובעת כדלקמן:</w:t>
      </w:r>
    </w:p>
    <w:p w:rsidR="002E14A5" w:rsidRDefault="002E14A5" w:rsidP="002E14A5">
      <w:pPr>
        <w:pStyle w:val="ad"/>
        <w:spacing w:line="360" w:lineRule="auto"/>
        <w:ind w:left="0" w:firstLine="720"/>
        <w:jc w:val="both"/>
        <w:rPr>
          <w:rtl/>
        </w:rPr>
      </w:pPr>
    </w:p>
    <w:p w:rsidR="002E14A5" w:rsidRDefault="002E14A5" w:rsidP="002E14A5">
      <w:pPr>
        <w:pStyle w:val="Ruller5"/>
        <w:rPr>
          <w:rStyle w:val="default"/>
          <w:rFonts w:cs="David"/>
          <w:szCs w:val="24"/>
          <w:rtl/>
        </w:rPr>
      </w:pPr>
      <w:r>
        <w:rPr>
          <w:rStyle w:val="default"/>
          <w:rFonts w:hint="cs"/>
          <w:rtl/>
        </w:rPr>
        <w:tab/>
      </w:r>
      <w:r>
        <w:rPr>
          <w:rStyle w:val="default"/>
          <w:rFonts w:cs="David"/>
          <w:szCs w:val="24"/>
          <w:rtl/>
        </w:rPr>
        <w:t>(ב)</w:t>
      </w:r>
      <w:r>
        <w:rPr>
          <w:rStyle w:val="default"/>
          <w:rFonts w:cs="David"/>
          <w:szCs w:val="24"/>
          <w:rtl/>
        </w:rPr>
        <w:tab/>
        <w:t>היו מעשה העבירה ומידת אשמו של הנאשם בעלי חומרה יתרה, לא יחרוג בית המשפט ממתחם העונש ההולם, כאמור בסעיף קטן (א), אף אם הנאשם השתקם או אם יש סיכוי של ממש שישתקם, אלא בנסיבות מיוחדות ויוצאות דופן, לאחר שבית המשפט שוכנע שהן גוברות על הצורך לקבוע את העונש במתחם העונש ההולם בהתאם לעיקרון המנחה, ופירט זאת בגזר הדין.</w:t>
      </w:r>
    </w:p>
    <w:p w:rsidR="002E14A5" w:rsidRDefault="002E14A5" w:rsidP="002E14A5">
      <w:pPr>
        <w:pStyle w:val="ad"/>
        <w:spacing w:line="360" w:lineRule="auto"/>
        <w:ind w:left="0" w:firstLine="720"/>
        <w:jc w:val="both"/>
        <w:rPr>
          <w:rtl/>
        </w:rPr>
      </w:pPr>
    </w:p>
    <w:p w:rsidR="002E14A5" w:rsidRDefault="002E14A5" w:rsidP="002E14A5">
      <w:pPr>
        <w:pStyle w:val="ad"/>
        <w:spacing w:line="360" w:lineRule="auto"/>
        <w:ind w:left="0" w:firstLine="720"/>
        <w:jc w:val="both"/>
        <w:rPr>
          <w:rtl/>
        </w:rPr>
      </w:pPr>
      <w:r>
        <w:rPr>
          <w:rtl/>
        </w:rPr>
        <w:t>לא מצאנו במקרה דנן נסיבות מיוחדות ויוצאות דופן כאמור. העובדה כי, ככל הנראה, הנאשם עצמו נפל בילדותו המוקדמת קורבן לפגיעה מינית, אינה יכולה, בנסיבות העניין, לענות על מבחן מחמיר זה, ומכל מקום שקלנו את כלל נסיבותיו של הנאשם ולא שוכנענו כי הן גוברות על הצורך לקבוע את עונשו במתחם העונש ההולם בהתאם לעיקרון המנחה בענישה – הלוא הוא עקרון ההלימה בין מעשה לעונש (השוו: ע"פ 5936/13, לעיל, פסקאות 8-5).</w:t>
      </w:r>
    </w:p>
    <w:p w:rsidR="002E14A5" w:rsidRDefault="002E14A5" w:rsidP="002E14A5">
      <w:pPr>
        <w:pStyle w:val="ad"/>
        <w:rPr>
          <w:rtl/>
        </w:rPr>
      </w:pPr>
    </w:p>
    <w:p w:rsidR="002E14A5" w:rsidRDefault="002E14A5" w:rsidP="002E14A5">
      <w:pPr>
        <w:pStyle w:val="ad"/>
        <w:numPr>
          <w:ilvl w:val="0"/>
          <w:numId w:val="1"/>
        </w:numPr>
        <w:spacing w:line="360" w:lineRule="auto"/>
        <w:ind w:left="0" w:hanging="12"/>
        <w:jc w:val="both"/>
      </w:pPr>
      <w:r>
        <w:rPr>
          <w:rtl/>
        </w:rPr>
        <w:t xml:space="preserve">עונשו של הנאשם ייגזר, אפוא, בתוך מתחמי העונש ההולם שקבענו לעיל. </w:t>
      </w:r>
    </w:p>
    <w:p w:rsidR="002E14A5" w:rsidRDefault="002E14A5" w:rsidP="002E14A5">
      <w:pPr>
        <w:pStyle w:val="ad"/>
        <w:spacing w:line="360" w:lineRule="auto"/>
        <w:ind w:left="0"/>
        <w:jc w:val="both"/>
        <w:rPr>
          <w:rtl/>
        </w:rPr>
      </w:pPr>
    </w:p>
    <w:p w:rsidR="002E14A5" w:rsidRDefault="002E14A5" w:rsidP="002E14A5">
      <w:pPr>
        <w:pStyle w:val="ad"/>
        <w:numPr>
          <w:ilvl w:val="0"/>
          <w:numId w:val="1"/>
        </w:numPr>
        <w:spacing w:line="360" w:lineRule="auto"/>
        <w:ind w:left="0" w:hanging="12"/>
        <w:jc w:val="both"/>
      </w:pPr>
      <w:r>
        <w:rPr>
          <w:rtl/>
        </w:rPr>
        <w:lastRenderedPageBreak/>
        <w:t xml:space="preserve">נוכח כל האמור מעלה נראה כי גם העונש המרבי המוצע לנו במסגרת הסדר הטיעון מקל מאוד עם הנאשם, ואינו עומד ביחס ישר לחומרת המעשים ולנזקים ארוכי הטווח שזרעו בקטינים ובבני משפחותיהם. </w:t>
      </w:r>
    </w:p>
    <w:p w:rsidR="002E14A5" w:rsidRDefault="002E14A5" w:rsidP="002E14A5">
      <w:pPr>
        <w:pStyle w:val="ad"/>
      </w:pPr>
    </w:p>
    <w:p w:rsidR="002E14A5" w:rsidRDefault="002E14A5" w:rsidP="002E14A5">
      <w:pPr>
        <w:pStyle w:val="ad"/>
        <w:spacing w:line="360" w:lineRule="auto"/>
        <w:ind w:left="0" w:firstLine="720"/>
        <w:jc w:val="both"/>
      </w:pPr>
      <w:r>
        <w:rPr>
          <w:rtl/>
        </w:rPr>
        <w:t>ואולם, הקלה זו הכרחית. מעבר לעובדה כי הנאשם הודה בעובדות כתב האישום המתוקן וחסך את עדותם של קורבנותיו הצעירים, ומעבר לכך שהפקיד סך של 50,000 ₪ לטובת פיצוי ובכך הבטיח את גבייתו, ההקלה עם הנאשם מתחייבת בשל החשיבות העצומה שיש לייחס, באופן כללי בעבירות המין וביתר שאת במקרה הנוכחי, לנטילת האחריות של הנאשם על מעשיו. נטילת אחריות מלאה ובלתי מסויגת זו מאשרת (</w:t>
      </w:r>
      <w:r>
        <w:t>affirm</w:t>
      </w:r>
      <w:r>
        <w:rPr>
          <w:rtl/>
        </w:rPr>
        <w:t xml:space="preserve">) עבור הקטינים א.א. ו-ב.ב. את עובדת היותם קורבנות נטולי אשמה של הנאשם ואת אשמו הבלעדי של הנאשם בכל אשר אירע להם מידיו. הם הנפגעים והוא הפוגע (השוו: ע"פ 7880/19 </w:t>
      </w:r>
      <w:r>
        <w:rPr>
          <w:b/>
          <w:bCs/>
          <w:rtl/>
        </w:rPr>
        <w:t>פלוני נ' מדינת ישראל</w:t>
      </w:r>
      <w:r>
        <w:rPr>
          <w:rtl/>
        </w:rPr>
        <w:t xml:space="preserve"> (2.8.2022), פסקה 89 לפסק דינו של כב' השופט ח' כבוב). אפשר אף שבחברה החרדית, יש להודאה כזו ערך מיוחד. עוד נתנו דעתנו לכך שהנאשם בשנות ה-20 לחייו, ללא עבר פלילי, והביע נכונות להשתלב בהליך טיפולי אינטנסיבי. כפי שעולה מתסקיר שירות המבחן, הנאשם חש תחושות בושה ואשמה והביע אמפטיה כלפי הקורבנות בהם פגע. </w:t>
      </w:r>
    </w:p>
    <w:p w:rsidR="002E14A5" w:rsidRDefault="002E14A5" w:rsidP="002E14A5">
      <w:pPr>
        <w:pStyle w:val="ad"/>
        <w:spacing w:line="360" w:lineRule="auto"/>
        <w:ind w:left="0" w:firstLine="720"/>
        <w:jc w:val="both"/>
        <w:rPr>
          <w:rtl/>
        </w:rPr>
      </w:pPr>
    </w:p>
    <w:p w:rsidR="002E14A5" w:rsidRDefault="002E14A5" w:rsidP="002E14A5">
      <w:pPr>
        <w:pStyle w:val="ad"/>
        <w:numPr>
          <w:ilvl w:val="0"/>
          <w:numId w:val="1"/>
        </w:numPr>
        <w:spacing w:line="360" w:lineRule="auto"/>
        <w:ind w:left="0" w:hanging="12"/>
        <w:jc w:val="both"/>
        <w:rPr>
          <w:rtl/>
        </w:rPr>
      </w:pPr>
      <w:r>
        <w:rPr>
          <w:rtl/>
        </w:rPr>
        <w:t>בנסיבות העניין, ובשים לב להסדר הטיעון שבו עתרה המאשימה לרף עליון של 7 שנות מאסר וחצי, ראינו להעמיד את עונשו העיקרי של הנאשם על 7 שנות מאסר.</w:t>
      </w:r>
    </w:p>
    <w:p w:rsidR="002E14A5" w:rsidRDefault="002E14A5" w:rsidP="002E14A5">
      <w:pPr>
        <w:pStyle w:val="ad"/>
        <w:spacing w:line="360" w:lineRule="auto"/>
        <w:ind w:left="0"/>
        <w:jc w:val="both"/>
        <w:rPr>
          <w:rtl/>
        </w:rPr>
      </w:pPr>
    </w:p>
    <w:p w:rsidR="002E14A5" w:rsidRDefault="002E14A5" w:rsidP="002E14A5">
      <w:pPr>
        <w:pStyle w:val="ad"/>
        <w:numPr>
          <w:ilvl w:val="0"/>
          <w:numId w:val="1"/>
        </w:numPr>
        <w:spacing w:line="360" w:lineRule="auto"/>
        <w:ind w:left="0" w:hanging="12"/>
        <w:jc w:val="both"/>
      </w:pPr>
      <w:r>
        <w:rPr>
          <w:rtl/>
        </w:rPr>
        <w:t xml:space="preserve">אשר לפיצוי, הנאשם הפקיד כזכור 50,000 ₪ לטובת פיצוי לקטינים כחלק מן ההסדר. בהינתן תמונת הנזקים שנפרשה לפנינו בתסקירי נפגעי העבירה אנו סבורים כי יש לחייב את הנאשם לשלם לכל אחד מן הקטינים סך של 100,000 ₪ [השוו ע"פ 5865/14 </w:t>
      </w:r>
      <w:r>
        <w:rPr>
          <w:b/>
          <w:bCs/>
          <w:rtl/>
        </w:rPr>
        <w:t>בן פורת נ' מדינת ישראל</w:t>
      </w:r>
      <w:r>
        <w:rPr>
          <w:rtl/>
        </w:rPr>
        <w:t xml:space="preserve"> (19.8.2015)].</w:t>
      </w:r>
    </w:p>
    <w:p w:rsidR="002E14A5" w:rsidRDefault="002E14A5" w:rsidP="002E14A5">
      <w:pPr>
        <w:pStyle w:val="ad"/>
      </w:pPr>
    </w:p>
    <w:p w:rsidR="002E14A5" w:rsidRDefault="002E14A5" w:rsidP="002E14A5">
      <w:pPr>
        <w:pStyle w:val="ad"/>
        <w:spacing w:line="360" w:lineRule="auto"/>
        <w:ind w:left="0" w:firstLine="720"/>
        <w:jc w:val="both"/>
      </w:pPr>
      <w:r>
        <w:rPr>
          <w:rtl/>
        </w:rPr>
        <w:t xml:space="preserve">נציין בהקשר זה כי, כידוע, הפיצוי הקבוע בסעיף 77 לחוק העונשין, התשל"ז-1977, הוא פיצוי אזרחי במהותו ותכליתו שיפוי הנפגע על הנזק והסבל שנגרמו לו. מדובר בפיצוי ראשוני בלבד, הנפסק </w:t>
      </w:r>
      <w:r>
        <w:rPr>
          <w:rFonts w:ascii="David" w:eastAsia="Calibri" w:hAnsi="David"/>
          <w:color w:val="000000"/>
          <w:rtl/>
          <w:lang w:eastAsia="he-IL"/>
        </w:rPr>
        <w:t>בהתאם להתרשמותו והערכתו של בית המשפט, על-פי נתונים המובאים בפניו בלא הוכחת נזק מדויקת</w:t>
      </w:r>
      <w:r>
        <w:rPr>
          <w:rtl/>
        </w:rPr>
        <w:t xml:space="preserve">. עוד נבהיר כי ההלכה הפסוקה קבעה שבקביעת גובה הפיצוי אין להתחשב ביכולתו הכלכלית של הנאשם [ראו, למשל, </w:t>
      </w:r>
      <w:r>
        <w:rPr>
          <w:rFonts w:ascii="David" w:hAnsi="David"/>
          <w:color w:val="000000"/>
          <w:rtl/>
        </w:rPr>
        <w:t xml:space="preserve">ע"פ 1287/14 </w:t>
      </w:r>
      <w:r>
        <w:rPr>
          <w:rFonts w:ascii="David" w:hAnsi="David"/>
          <w:b/>
          <w:bCs/>
          <w:color w:val="000000"/>
          <w:rtl/>
        </w:rPr>
        <w:t>פלוני נ' מדינת ישראל</w:t>
      </w:r>
      <w:r>
        <w:rPr>
          <w:rFonts w:ascii="David" w:hAnsi="David"/>
          <w:color w:val="000000"/>
          <w:rtl/>
        </w:rPr>
        <w:t xml:space="preserve"> (5.8.2015); ע"פ 6882/14 </w:t>
      </w:r>
      <w:r>
        <w:rPr>
          <w:rFonts w:ascii="David" w:hAnsi="David"/>
          <w:b/>
          <w:bCs/>
          <w:color w:val="000000"/>
          <w:rtl/>
        </w:rPr>
        <w:t>פלוני נ' מדינת ישראל</w:t>
      </w:r>
      <w:r>
        <w:rPr>
          <w:rFonts w:ascii="David" w:hAnsi="David"/>
          <w:color w:val="000000"/>
          <w:rtl/>
        </w:rPr>
        <w:t xml:space="preserve"> (11.11.2015)]. </w:t>
      </w:r>
    </w:p>
    <w:p w:rsidR="002E14A5" w:rsidRDefault="002E14A5" w:rsidP="002E14A5">
      <w:pPr>
        <w:pStyle w:val="ad"/>
        <w:spacing w:line="360" w:lineRule="auto"/>
        <w:ind w:left="0"/>
        <w:jc w:val="both"/>
        <w:rPr>
          <w:rtl/>
        </w:rPr>
      </w:pPr>
    </w:p>
    <w:p w:rsidR="002E14A5" w:rsidRDefault="002E14A5" w:rsidP="002E14A5">
      <w:pPr>
        <w:pStyle w:val="ad"/>
        <w:numPr>
          <w:ilvl w:val="0"/>
          <w:numId w:val="1"/>
        </w:numPr>
        <w:spacing w:line="360" w:lineRule="auto"/>
        <w:ind w:left="0" w:hanging="12"/>
        <w:jc w:val="both"/>
      </w:pPr>
      <w:r>
        <w:rPr>
          <w:u w:val="single"/>
          <w:rtl/>
        </w:rPr>
        <w:t>אשר על כן אנו גוזרים על הנאשם את העונשים הבאים</w:t>
      </w:r>
      <w:r>
        <w:rPr>
          <w:rtl/>
        </w:rPr>
        <w:t>:</w:t>
      </w:r>
    </w:p>
    <w:p w:rsidR="002E14A5" w:rsidRDefault="002E14A5" w:rsidP="002E14A5">
      <w:pPr>
        <w:spacing w:line="360" w:lineRule="auto"/>
        <w:ind w:left="720"/>
        <w:jc w:val="both"/>
        <w:rPr>
          <w:rtl/>
        </w:rPr>
      </w:pPr>
    </w:p>
    <w:p w:rsidR="002E14A5" w:rsidRDefault="002E14A5" w:rsidP="002E14A5">
      <w:pPr>
        <w:numPr>
          <w:ilvl w:val="0"/>
          <w:numId w:val="2"/>
        </w:numPr>
        <w:spacing w:after="120" w:line="360" w:lineRule="auto"/>
        <w:jc w:val="both"/>
        <w:rPr>
          <w:rFonts w:ascii="David" w:hAnsi="David"/>
          <w:color w:val="000000"/>
          <w:rtl/>
        </w:rPr>
      </w:pPr>
      <w:r>
        <w:rPr>
          <w:rFonts w:ascii="David" w:hAnsi="David"/>
          <w:b/>
          <w:bCs/>
          <w:color w:val="000000"/>
          <w:rtl/>
        </w:rPr>
        <w:lastRenderedPageBreak/>
        <w:t xml:space="preserve">7 שנות מאסר </w:t>
      </w:r>
      <w:r>
        <w:rPr>
          <w:b/>
          <w:bCs/>
          <w:rtl/>
        </w:rPr>
        <w:t>בפועל</w:t>
      </w:r>
      <w:r>
        <w:rPr>
          <w:rtl/>
        </w:rPr>
        <w:t xml:space="preserve"> אשר מניינן מיום מעצרו 28.4.2021.</w:t>
      </w:r>
    </w:p>
    <w:p w:rsidR="002E14A5" w:rsidRDefault="002E14A5" w:rsidP="002E14A5">
      <w:pPr>
        <w:numPr>
          <w:ilvl w:val="0"/>
          <w:numId w:val="2"/>
        </w:numPr>
        <w:spacing w:after="120" w:line="360" w:lineRule="auto"/>
        <w:jc w:val="both"/>
        <w:rPr>
          <w:rFonts w:ascii="David" w:hAnsi="David"/>
          <w:color w:val="000000"/>
          <w:rtl/>
        </w:rPr>
      </w:pPr>
      <w:r>
        <w:rPr>
          <w:rFonts w:ascii="David" w:hAnsi="David"/>
          <w:color w:val="000000"/>
          <w:rtl/>
        </w:rPr>
        <w:t>12 חודשי</w:t>
      </w:r>
      <w:r>
        <w:rPr>
          <w:rtl/>
        </w:rPr>
        <w:t xml:space="preserve"> מאסר על תנאי, והתנאי הוא כי הנאשם לא יעבור במשך 3 שנים מיום שחרורו ממאסר עבירת מין מסוג פשע.</w:t>
      </w:r>
    </w:p>
    <w:p w:rsidR="002E14A5" w:rsidRDefault="002E14A5" w:rsidP="002E14A5">
      <w:pPr>
        <w:numPr>
          <w:ilvl w:val="0"/>
          <w:numId w:val="2"/>
        </w:numPr>
        <w:spacing w:after="120" w:line="360" w:lineRule="auto"/>
        <w:jc w:val="both"/>
        <w:rPr>
          <w:rFonts w:ascii="David" w:hAnsi="David"/>
          <w:color w:val="000000"/>
          <w:rtl/>
        </w:rPr>
      </w:pPr>
      <w:r>
        <w:rPr>
          <w:rFonts w:ascii="David" w:hAnsi="David"/>
          <w:color w:val="000000"/>
          <w:rtl/>
        </w:rPr>
        <w:t>6 חודשי</w:t>
      </w:r>
      <w:r>
        <w:rPr>
          <w:rtl/>
        </w:rPr>
        <w:t xml:space="preserve"> מאסר על תנאי, והתנאי הוא כי הנאשם לא יעבור במשך 3 שנים מיום שחרורו ממאסר עבירת מין מסוג עוון.</w:t>
      </w:r>
    </w:p>
    <w:p w:rsidR="002E14A5" w:rsidRDefault="002E14A5" w:rsidP="002E14A5">
      <w:pPr>
        <w:numPr>
          <w:ilvl w:val="0"/>
          <w:numId w:val="2"/>
        </w:numPr>
        <w:spacing w:after="120" w:line="360" w:lineRule="auto"/>
        <w:jc w:val="both"/>
        <w:rPr>
          <w:lang w:eastAsia="he-IL"/>
        </w:rPr>
      </w:pPr>
      <w:r>
        <w:rPr>
          <w:rFonts w:ascii="David" w:hAnsi="David"/>
          <w:color w:val="000000"/>
          <w:rtl/>
        </w:rPr>
        <w:t>פיצוי בסך 100,000 ₪</w:t>
      </w:r>
      <w:r>
        <w:rPr>
          <w:rtl/>
          <w:lang w:eastAsia="he-IL"/>
        </w:rPr>
        <w:t xml:space="preserve"> לא.א. ופיצוי בסך 100,000 ₪ לב.ב (סה"כ 200,000 ₪). </w:t>
      </w:r>
    </w:p>
    <w:p w:rsidR="002E14A5" w:rsidRDefault="002E14A5" w:rsidP="002E14A5">
      <w:pPr>
        <w:spacing w:after="120" w:line="360" w:lineRule="auto"/>
        <w:ind w:left="1080"/>
        <w:jc w:val="both"/>
        <w:rPr>
          <w:lang w:eastAsia="he-IL"/>
        </w:rPr>
      </w:pPr>
      <w:r>
        <w:rPr>
          <w:rtl/>
          <w:lang w:eastAsia="he-IL"/>
        </w:rPr>
        <w:t xml:space="preserve">מסכום הפיצוי שפסקנו לכל אחד מן הנפגעים ינוכה סך של 25,000 ₪ מכספי הפיקדון שהפקיד הנאשם. יתרות סכומי הפיצוי יופקדו בבית המשפט ב-25 תשלומים חודשיים שווים ורצופים החל מיום 1.11.2022 ויועברו להוריהם של נפגעי העבירה. כל זאת בהתאם לפרטים שתמסור המאשימה. אם לא ישולם תשלום כלשהו במועד, תעמוד היתרה לפרעון מיידי. אם יופקד רק חלק מהסכום, יחולק שווה בשווה בין הנפגעים. </w:t>
      </w:r>
    </w:p>
    <w:p w:rsidR="002E14A5" w:rsidRDefault="002E14A5" w:rsidP="002E14A5"/>
    <w:p w:rsidR="002E14A5" w:rsidRDefault="002E14A5" w:rsidP="002E14A5">
      <w:r>
        <w:rPr>
          <w:rtl/>
        </w:rPr>
        <w:t>מזכירות בית המשפט תמציא העתק גזר הדין לשירות המבחן.</w:t>
      </w:r>
    </w:p>
    <w:p w:rsidR="002E14A5" w:rsidRDefault="002E14A5" w:rsidP="002E14A5">
      <w:pPr>
        <w:rPr>
          <w:sz w:val="26"/>
          <w:szCs w:val="26"/>
          <w:rtl/>
        </w:rPr>
      </w:pPr>
    </w:p>
    <w:p w:rsidR="002E14A5" w:rsidRDefault="002E14A5" w:rsidP="002E14A5">
      <w:pPr>
        <w:rPr>
          <w:rtl/>
        </w:rPr>
      </w:pPr>
      <w:r>
        <w:rPr>
          <w:rtl/>
        </w:rPr>
        <w:t>זכות ערעור לבית המשפט העליון תוך 45 יום.</w:t>
      </w:r>
    </w:p>
    <w:p w:rsidR="002E14A5" w:rsidRDefault="002E14A5" w:rsidP="002E14A5">
      <w:pPr>
        <w:rPr>
          <w:sz w:val="26"/>
          <w:szCs w:val="26"/>
          <w:rtl/>
        </w:rPr>
      </w:pPr>
    </w:p>
    <w:p w:rsidR="002E14A5" w:rsidRDefault="002E14A5" w:rsidP="002E14A5">
      <w:pPr>
        <w:rPr>
          <w:sz w:val="26"/>
          <w:szCs w:val="26"/>
          <w:rtl/>
        </w:rPr>
      </w:pPr>
    </w:p>
    <w:p w:rsidR="002E14A5" w:rsidRDefault="002E14A5" w:rsidP="002E14A5">
      <w:pPr>
        <w:spacing w:line="360" w:lineRule="auto"/>
        <w:rPr>
          <w:rtl/>
        </w:rPr>
      </w:pPr>
    </w:p>
    <w:p w:rsidR="002E14A5" w:rsidRDefault="002E14A5" w:rsidP="002E14A5">
      <w:pPr>
        <w:spacing w:line="360" w:lineRule="auto"/>
        <w:rPr>
          <w:rtl/>
        </w:rPr>
      </w:pPr>
    </w:p>
    <w:p w:rsidR="002E14A5" w:rsidRDefault="002E14A5" w:rsidP="002E14A5">
      <w:pPr>
        <w:spacing w:line="360" w:lineRule="auto"/>
        <w:rPr>
          <w:rtl/>
        </w:rPr>
      </w:pPr>
    </w:p>
    <w:tbl>
      <w:tblPr>
        <w:tblStyle w:val="a9"/>
        <w:tblpPr w:leftFromText="180" w:rightFromText="180" w:vertAnchor="text" w:horzAnchor="margin" w:tblpXSpec="center" w:tblpY="35"/>
        <w:bidiVisual/>
        <w:tblW w:w="102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383"/>
        <w:gridCol w:w="3536"/>
        <w:gridCol w:w="3341"/>
      </w:tblGrid>
      <w:tr w:rsidR="002E14A5" w:rsidTr="002E14A5">
        <w:tc>
          <w:tcPr>
            <w:tcW w:w="3383" w:type="dxa"/>
            <w:hideMark/>
          </w:tcPr>
          <w:sdt>
            <w:sdtPr>
              <w:rPr>
                <w:rFonts w:cs="Times New Roman"/>
                <w:rtl/>
              </w:rPr>
              <w:alias w:val="MergeField"/>
              <w:tag w:val="2250"/>
              <w:id w:val="-130406988"/>
            </w:sdtPr>
            <w:sdtEndPr/>
            <w:sdtContent>
              <w:p w:rsidR="002E14A5" w:rsidRDefault="002E14A5">
                <w:pPr>
                  <w:jc w:val="center"/>
                </w:pPr>
                <w:r>
                  <w:drawing>
                    <wp:inline distT="0" distB="0" distL="0" distR="0">
                      <wp:extent cx="1524000" cy="514350"/>
                      <wp:effectExtent l="0" t="0" r="0" b="0"/>
                      <wp:docPr id="5" name="תמונה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0" cy="514350"/>
                              </a:xfrm>
                              <a:prstGeom prst="rect">
                                <a:avLst/>
                              </a:prstGeom>
                              <a:noFill/>
                              <a:ln>
                                <a:noFill/>
                              </a:ln>
                            </pic:spPr>
                          </pic:pic>
                        </a:graphicData>
                      </a:graphic>
                    </wp:inline>
                  </w:drawing>
                </w:r>
              </w:p>
            </w:sdtContent>
          </w:sdt>
        </w:tc>
        <w:tc>
          <w:tcPr>
            <w:tcW w:w="3536" w:type="dxa"/>
          </w:tcPr>
          <w:p w:rsidR="002E14A5" w:rsidRDefault="002E14A5">
            <w:pPr>
              <w:spacing w:line="360" w:lineRule="auto"/>
              <w:jc w:val="center"/>
              <w:rPr>
                <w:rFonts w:ascii="David" w:hAnsi="David"/>
                <w:rtl/>
              </w:rPr>
            </w:pPr>
          </w:p>
          <w:sdt>
            <w:sdtPr>
              <w:rPr>
                <w:rFonts w:cs="Times New Roman" w:hint="cs"/>
                <w:rtl/>
              </w:rPr>
              <w:alias w:val="MergeField"/>
              <w:tag w:val="2251"/>
              <w:id w:val="-1271314896"/>
            </w:sdtPr>
            <w:sdtEndPr/>
            <w:sdtContent>
              <w:p w:rsidR="002E14A5" w:rsidRDefault="002E14A5">
                <w:pPr>
                  <w:jc w:val="center"/>
                  <w:rPr>
                    <w:rFonts w:cs="Times New Roman"/>
                  </w:rPr>
                </w:pPr>
                <w:r>
                  <w:drawing>
                    <wp:inline distT="0" distB="0" distL="0" distR="0">
                      <wp:extent cx="1571625" cy="800100"/>
                      <wp:effectExtent l="0" t="0" r="9525" b="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71625" cy="800100"/>
                              </a:xfrm>
                              <a:prstGeom prst="rect">
                                <a:avLst/>
                              </a:prstGeom>
                              <a:noFill/>
                              <a:ln>
                                <a:noFill/>
                              </a:ln>
                            </pic:spPr>
                          </pic:pic>
                        </a:graphicData>
                      </a:graphic>
                    </wp:inline>
                  </w:drawing>
                </w:r>
              </w:p>
            </w:sdtContent>
          </w:sdt>
        </w:tc>
        <w:tc>
          <w:tcPr>
            <w:tcW w:w="3341" w:type="dxa"/>
            <w:hideMark/>
          </w:tcPr>
          <w:sdt>
            <w:sdtPr>
              <w:rPr>
                <w:rFonts w:cs="Times New Roman" w:hint="cs"/>
                <w:rtl/>
              </w:rPr>
              <w:alias w:val="MergeField"/>
              <w:tag w:val="2252"/>
              <w:id w:val="-248037766"/>
            </w:sdtPr>
            <w:sdtEndPr/>
            <w:sdtContent>
              <w:p w:rsidR="002E14A5" w:rsidRDefault="002E14A5">
                <w:pPr>
                  <w:jc w:val="center"/>
                  <w:rPr>
                    <w:rtl/>
                  </w:rPr>
                </w:pPr>
                <w:r>
                  <w:drawing>
                    <wp:inline distT="0" distB="0" distL="0" distR="0">
                      <wp:extent cx="952500" cy="666750"/>
                      <wp:effectExtent l="0" t="0" r="0"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00" cy="666750"/>
                              </a:xfrm>
                              <a:prstGeom prst="rect">
                                <a:avLst/>
                              </a:prstGeom>
                              <a:noFill/>
                              <a:ln>
                                <a:noFill/>
                              </a:ln>
                            </pic:spPr>
                          </pic:pic>
                        </a:graphicData>
                      </a:graphic>
                    </wp:inline>
                  </w:drawing>
                </w:r>
              </w:p>
            </w:sdtContent>
          </w:sdt>
        </w:tc>
      </w:tr>
      <w:tr w:rsidR="002E14A5" w:rsidTr="002E14A5">
        <w:tc>
          <w:tcPr>
            <w:tcW w:w="3383" w:type="dxa"/>
            <w:hideMark/>
          </w:tcPr>
          <w:p w:rsidR="002E14A5" w:rsidRDefault="00105973">
            <w:pPr>
              <w:spacing w:line="360" w:lineRule="auto"/>
              <w:jc w:val="center"/>
              <w:rPr>
                <w:rFonts w:ascii="David" w:hAnsi="David"/>
              </w:rPr>
            </w:pPr>
            <w:sdt>
              <w:sdtPr>
                <w:rPr>
                  <w:rtl/>
                </w:rPr>
                <w:alias w:val="2235"/>
                <w:tag w:val="2235"/>
                <w:id w:val="1100069598"/>
              </w:sdtPr>
              <w:sdtEndPr/>
              <w:sdtContent>
                <w:r w:rsidR="002E14A5">
                  <w:rPr>
                    <w:rFonts w:ascii="David" w:hAnsi="David"/>
                    <w:rtl/>
                  </w:rPr>
                  <w:t>עמי</w:t>
                </w:r>
              </w:sdtContent>
            </w:sdt>
            <w:r w:rsidR="002E14A5">
              <w:rPr>
                <w:rtl/>
              </w:rPr>
              <w:t xml:space="preserve">  </w:t>
            </w:r>
            <w:sdt>
              <w:sdtPr>
                <w:rPr>
                  <w:rFonts w:cs="Times New Roman" w:hint="cs"/>
                  <w:rtl/>
                </w:rPr>
                <w:alias w:val="2240"/>
                <w:tag w:val="2240"/>
                <w:id w:val="825638415"/>
              </w:sdtPr>
              <w:sdtEndPr/>
              <w:sdtContent>
                <w:r w:rsidR="002E14A5">
                  <w:rPr>
                    <w:rtl/>
                  </w:rPr>
                  <w:t>קובו</w:t>
                </w:r>
              </w:sdtContent>
            </w:sdt>
            <w:r w:rsidR="002E14A5">
              <w:rPr>
                <w:rtl/>
              </w:rPr>
              <w:t xml:space="preserve">, </w:t>
            </w:r>
            <w:sdt>
              <w:sdtPr>
                <w:rPr>
                  <w:rFonts w:cs="Times New Roman" w:hint="cs"/>
                  <w:rtl/>
                </w:rPr>
                <w:alias w:val="2245"/>
                <w:tag w:val="2245"/>
                <w:id w:val="533847746"/>
              </w:sdtPr>
              <w:sdtEndPr/>
              <w:sdtContent>
                <w:r w:rsidR="002E14A5">
                  <w:rPr>
                    <w:rtl/>
                  </w:rPr>
                  <w:t>שופט, אב"ד</w:t>
                </w:r>
              </w:sdtContent>
            </w:sdt>
          </w:p>
        </w:tc>
        <w:tc>
          <w:tcPr>
            <w:tcW w:w="3536" w:type="dxa"/>
            <w:hideMark/>
          </w:tcPr>
          <w:p w:rsidR="002E14A5" w:rsidRDefault="00105973">
            <w:pPr>
              <w:spacing w:line="360" w:lineRule="auto"/>
              <w:jc w:val="center"/>
              <w:rPr>
                <w:rFonts w:ascii="David" w:hAnsi="David"/>
              </w:rPr>
            </w:pPr>
            <w:sdt>
              <w:sdtPr>
                <w:rPr>
                  <w:rtl/>
                </w:rPr>
                <w:alias w:val="2236"/>
                <w:tag w:val="2236"/>
                <w:id w:val="639300144"/>
              </w:sdtPr>
              <w:sdtEndPr/>
              <w:sdtContent>
                <w:r w:rsidR="002E14A5">
                  <w:rPr>
                    <w:rFonts w:ascii="David" w:hAnsi="David"/>
                    <w:rtl/>
                  </w:rPr>
                  <w:t>מיכאל</w:t>
                </w:r>
              </w:sdtContent>
            </w:sdt>
            <w:r w:rsidR="002E14A5">
              <w:rPr>
                <w:rtl/>
              </w:rPr>
              <w:t xml:space="preserve"> </w:t>
            </w:r>
            <w:sdt>
              <w:sdtPr>
                <w:rPr>
                  <w:rFonts w:cs="Times New Roman" w:hint="cs"/>
                  <w:rtl/>
                </w:rPr>
                <w:alias w:val="2241"/>
                <w:tag w:val="2241"/>
                <w:id w:val="-2097088705"/>
              </w:sdtPr>
              <w:sdtEndPr/>
              <w:sdtContent>
                <w:r w:rsidR="002E14A5">
                  <w:rPr>
                    <w:rtl/>
                  </w:rPr>
                  <w:t>קרשן</w:t>
                </w:r>
              </w:sdtContent>
            </w:sdt>
            <w:r w:rsidR="002E14A5">
              <w:rPr>
                <w:rtl/>
              </w:rPr>
              <w:t xml:space="preserve">, </w:t>
            </w:r>
            <w:sdt>
              <w:sdtPr>
                <w:rPr>
                  <w:rFonts w:cs="Times New Roman" w:hint="cs"/>
                  <w:rtl/>
                </w:rPr>
                <w:alias w:val="2246"/>
                <w:tag w:val="2246"/>
                <w:id w:val="-1989393221"/>
              </w:sdtPr>
              <w:sdtEndPr/>
              <w:sdtContent>
                <w:r w:rsidR="002E14A5">
                  <w:rPr>
                    <w:rtl/>
                  </w:rPr>
                  <w:t>שופט</w:t>
                </w:r>
              </w:sdtContent>
            </w:sdt>
          </w:p>
        </w:tc>
        <w:tc>
          <w:tcPr>
            <w:tcW w:w="3341" w:type="dxa"/>
            <w:hideMark/>
          </w:tcPr>
          <w:p w:rsidR="002E14A5" w:rsidRDefault="00105973">
            <w:pPr>
              <w:spacing w:line="360" w:lineRule="auto"/>
              <w:jc w:val="center"/>
              <w:rPr>
                <w:rFonts w:ascii="David" w:hAnsi="David"/>
                <w:rtl/>
              </w:rPr>
            </w:pPr>
            <w:sdt>
              <w:sdtPr>
                <w:rPr>
                  <w:rtl/>
                </w:rPr>
                <w:alias w:val="2237"/>
                <w:tag w:val="2237"/>
                <w:id w:val="-31890643"/>
              </w:sdtPr>
              <w:sdtEndPr/>
              <w:sdtContent>
                <w:r w:rsidR="002E14A5">
                  <w:rPr>
                    <w:rFonts w:ascii="David" w:hAnsi="David"/>
                    <w:rtl/>
                  </w:rPr>
                  <w:t>מרב</w:t>
                </w:r>
              </w:sdtContent>
            </w:sdt>
            <w:r w:rsidR="002E14A5">
              <w:rPr>
                <w:rtl/>
              </w:rPr>
              <w:t xml:space="preserve"> </w:t>
            </w:r>
            <w:sdt>
              <w:sdtPr>
                <w:rPr>
                  <w:rFonts w:cs="Times New Roman" w:hint="cs"/>
                  <w:rtl/>
                </w:rPr>
                <w:alias w:val="2242"/>
                <w:tag w:val="2242"/>
                <w:id w:val="358854881"/>
              </w:sdtPr>
              <w:sdtEndPr/>
              <w:sdtContent>
                <w:r w:rsidR="002E14A5">
                  <w:rPr>
                    <w:rtl/>
                  </w:rPr>
                  <w:t>גרינברג</w:t>
                </w:r>
              </w:sdtContent>
            </w:sdt>
            <w:r w:rsidR="002E14A5">
              <w:rPr>
                <w:rtl/>
              </w:rPr>
              <w:t xml:space="preserve">, </w:t>
            </w:r>
            <w:sdt>
              <w:sdtPr>
                <w:rPr>
                  <w:rFonts w:cs="Times New Roman" w:hint="cs"/>
                  <w:rtl/>
                </w:rPr>
                <w:alias w:val="2247"/>
                <w:tag w:val="2247"/>
                <w:id w:val="243227774"/>
              </w:sdtPr>
              <w:sdtEndPr/>
              <w:sdtContent>
                <w:r w:rsidR="002E14A5">
                  <w:rPr>
                    <w:rtl/>
                  </w:rPr>
                  <w:t>שופטת</w:t>
                </w:r>
              </w:sdtContent>
            </w:sdt>
          </w:p>
        </w:tc>
      </w:tr>
    </w:tbl>
    <w:p w:rsidR="002E14A5" w:rsidRDefault="002E14A5" w:rsidP="002E14A5">
      <w:pPr>
        <w:spacing w:line="360" w:lineRule="auto"/>
        <w:jc w:val="both"/>
        <w:rPr>
          <w:rFonts w:ascii="David" w:hAnsi="David"/>
          <w:rtl/>
        </w:rPr>
      </w:pPr>
      <w:r>
        <w:rPr>
          <w:rtl/>
        </w:rPr>
        <w:t xml:space="preserve">  </w:t>
      </w:r>
    </w:p>
    <w:p w:rsidR="002E14A5" w:rsidRDefault="002E14A5" w:rsidP="002E14A5">
      <w:pPr>
        <w:rPr>
          <w:rFonts w:ascii="Arial" w:hAnsi="Arial"/>
          <w:b/>
          <w:bCs/>
          <w:sz w:val="26"/>
          <w:szCs w:val="26"/>
          <w:rtl/>
        </w:rPr>
      </w:pPr>
    </w:p>
    <w:p w:rsidR="002E14A5" w:rsidRDefault="002E14A5" w:rsidP="002E14A5">
      <w:pPr>
        <w:rPr>
          <w:rFonts w:ascii="Arial" w:hAnsi="Arial"/>
          <w:b/>
          <w:bCs/>
          <w:sz w:val="26"/>
          <w:szCs w:val="26"/>
          <w:rtl/>
        </w:rPr>
      </w:pPr>
    </w:p>
    <w:p w:rsidR="002E14A5" w:rsidRDefault="002E14A5" w:rsidP="002E14A5">
      <w:pPr>
        <w:rPr>
          <w:rFonts w:ascii="Arial" w:hAnsi="Arial"/>
          <w:b/>
          <w:bCs/>
          <w:sz w:val="26"/>
          <w:szCs w:val="26"/>
          <w:rtl/>
        </w:rPr>
      </w:pPr>
    </w:p>
    <w:p w:rsidR="002E14A5" w:rsidRDefault="002E14A5" w:rsidP="002E14A5">
      <w:pPr>
        <w:spacing w:line="360" w:lineRule="auto"/>
        <w:jc w:val="both"/>
        <w:rPr>
          <w:rFonts w:ascii="Arial" w:hAnsi="Arial"/>
          <w:b/>
          <w:bCs/>
          <w:sz w:val="26"/>
          <w:szCs w:val="26"/>
          <w:rtl/>
        </w:rPr>
      </w:pPr>
      <w:r>
        <w:rPr>
          <w:rFonts w:ascii="Arial" w:hAnsi="Arial"/>
          <w:b/>
          <w:bCs/>
          <w:sz w:val="26"/>
          <w:szCs w:val="26"/>
          <w:rtl/>
        </w:rPr>
        <w:t xml:space="preserve">ניתן היום,  </w:t>
      </w:r>
      <w:sdt>
        <w:sdtPr>
          <w:rPr>
            <w:rFonts w:ascii="Arial" w:hAnsi="Arial"/>
            <w:b/>
            <w:bCs/>
            <w:sz w:val="26"/>
            <w:szCs w:val="26"/>
            <w:rtl/>
          </w:rPr>
          <w:alias w:val="1455"/>
          <w:tag w:val="1455"/>
          <w:id w:val="-750497047"/>
          <w:text w:multiLine="1"/>
        </w:sdtPr>
        <w:sdtEndPr/>
        <w:sdtContent>
          <w:r>
            <w:rPr>
              <w:rFonts w:ascii="Arial" w:hAnsi="Arial"/>
              <w:b/>
              <w:bCs/>
              <w:sz w:val="26"/>
              <w:szCs w:val="26"/>
              <w:rtl/>
            </w:rPr>
            <w:t>ב' חשוון תשפ"ג</w:t>
          </w:r>
        </w:sdtContent>
      </w:sdt>
      <w:r>
        <w:rPr>
          <w:rFonts w:ascii="Arial" w:hAnsi="Arial"/>
          <w:b/>
          <w:bCs/>
          <w:sz w:val="26"/>
          <w:szCs w:val="26"/>
          <w:rtl/>
        </w:rPr>
        <w:t xml:space="preserve">, </w:t>
      </w:r>
      <w:sdt>
        <w:sdtPr>
          <w:rPr>
            <w:rFonts w:ascii="Arial" w:hAnsi="Arial"/>
            <w:b/>
            <w:bCs/>
            <w:sz w:val="26"/>
            <w:szCs w:val="26"/>
            <w:rtl/>
          </w:rPr>
          <w:alias w:val="1456"/>
          <w:tag w:val="1456"/>
          <w:id w:val="367718347"/>
          <w:text w:multiLine="1"/>
        </w:sdtPr>
        <w:sdtEndPr/>
        <w:sdtContent>
          <w:r>
            <w:rPr>
              <w:rFonts w:ascii="Arial" w:hAnsi="Arial"/>
              <w:b/>
              <w:bCs/>
              <w:sz w:val="26"/>
              <w:szCs w:val="26"/>
              <w:rtl/>
            </w:rPr>
            <w:t>27 אוקטובר 2022</w:t>
          </w:r>
        </w:sdtContent>
      </w:sdt>
      <w:r>
        <w:rPr>
          <w:rFonts w:ascii="Arial" w:hAnsi="Arial"/>
          <w:b/>
          <w:bCs/>
          <w:sz w:val="26"/>
          <w:szCs w:val="26"/>
          <w:rtl/>
        </w:rPr>
        <w:t>, בנוכחות הצדדים.</w:t>
      </w:r>
    </w:p>
    <w:p w:rsidR="002E14A5" w:rsidRDefault="002E14A5" w:rsidP="002E14A5">
      <w:pPr>
        <w:rPr>
          <w:rFonts w:ascii="Arial" w:hAnsi="Arial"/>
          <w:b/>
          <w:bCs/>
          <w:sz w:val="26"/>
          <w:szCs w:val="26"/>
        </w:rPr>
      </w:pPr>
    </w:p>
    <w:p w:rsidR="002E14A5" w:rsidRDefault="002E14A5" w:rsidP="002E14A5">
      <w:pPr>
        <w:jc w:val="center"/>
      </w:pPr>
      <w:r>
        <w:rPr>
          <w:rFonts w:ascii="Arial" w:hAnsi="Arial"/>
          <w:b/>
          <w:bCs/>
          <w:sz w:val="26"/>
          <w:szCs w:val="26"/>
          <w:rtl/>
        </w:rPr>
        <w:t xml:space="preserve">   </w:t>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p>
    <w:p w:rsidR="002E14A5" w:rsidRDefault="002E14A5" w:rsidP="002E14A5">
      <w:pPr>
        <w:jc w:val="center"/>
        <w:rPr>
          <w:rtl/>
        </w:rPr>
      </w:pPr>
    </w:p>
    <w:p w:rsidR="002E14A5" w:rsidRDefault="002E14A5" w:rsidP="002E14A5">
      <w:pPr>
        <w:jc w:val="center"/>
        <w:rPr>
          <w:rFonts w:ascii="Arial" w:hAnsi="Arial"/>
          <w:b/>
          <w:bCs/>
          <w:sz w:val="26"/>
          <w:szCs w:val="26"/>
        </w:rPr>
      </w:pP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sectPr w:rsidR="00694556" w:rsidRPr="00B95D6E" w:rsidSect="00891F42">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5973" w:rsidRDefault="00105973">
      <w:r>
        <w:separator/>
      </w:r>
    </w:p>
  </w:endnote>
  <w:endnote w:type="continuationSeparator" w:id="0">
    <w:p w:rsidR="00105973" w:rsidRDefault="00105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16B" w:rsidRDefault="00CD516B">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8D2343">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8D2343">
      <w:rPr>
        <w:rStyle w:val="ab"/>
        <w:rtl/>
      </w:rPr>
      <w:t>10</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16B" w:rsidRDefault="00CD516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5973" w:rsidRDefault="00105973">
      <w:r>
        <w:separator/>
      </w:r>
    </w:p>
  </w:footnote>
  <w:footnote w:type="continuationSeparator" w:id="0">
    <w:p w:rsidR="00105973" w:rsidRDefault="001059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16B" w:rsidRDefault="00CD516B">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מרכז-לוד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105973" w:rsidP="002E14A5">
          <w:pPr>
            <w:rPr>
              <w:b/>
              <w:bCs/>
              <w:noProof w:val="0"/>
              <w:sz w:val="26"/>
              <w:szCs w:val="26"/>
              <w:rtl/>
            </w:rPr>
          </w:pPr>
          <w:sdt>
            <w:sdtPr>
              <w:rPr>
                <w:rtl/>
              </w:rPr>
              <w:alias w:val="1170"/>
              <w:tag w:val="1170"/>
              <w:id w:val="1066377040"/>
              <w:text w:multiLine="1"/>
            </w:sdtPr>
            <w:sdtEndPr/>
            <w:sdtContent>
              <w:proofErr w:type="spellStart"/>
              <w:r w:rsidR="00FE09EC">
                <w:rPr>
                  <w:b/>
                  <w:bCs/>
                  <w:noProof w:val="0"/>
                  <w:sz w:val="26"/>
                  <w:szCs w:val="26"/>
                  <w:rtl/>
                </w:rPr>
                <w:t>תפח"ע</w:t>
              </w:r>
              <w:proofErr w:type="spellEnd"/>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FE09EC">
                <w:rPr>
                  <w:b/>
                  <w:bCs/>
                  <w:noProof w:val="0"/>
                  <w:sz w:val="26"/>
                  <w:szCs w:val="26"/>
                  <w:rtl/>
                </w:rPr>
                <w:t>41405-05-21</w:t>
              </w:r>
            </w:sdtContent>
          </w:sdt>
          <w:bookmarkEnd w:id="1"/>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FE09EC">
                <w:rPr>
                  <w:b/>
                  <w:bCs/>
                  <w:noProof w:val="0"/>
                  <w:sz w:val="26"/>
                  <w:szCs w:val="26"/>
                  <w:rtl/>
                </w:rPr>
                <w:t xml:space="preserve">מדינת ישראל נ' </w:t>
              </w:r>
              <w:r w:rsidR="002E14A5">
                <w:rPr>
                  <w:rFonts w:hint="cs"/>
                  <w:b/>
                  <w:bCs/>
                  <w:noProof w:val="0"/>
                  <w:sz w:val="26"/>
                  <w:szCs w:val="26"/>
                  <w:rtl/>
                </w:rPr>
                <w:t>פלוני</w:t>
              </w:r>
            </w:sdtContent>
          </w:sdt>
          <w:r w:rsidR="00CD516B">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16B" w:rsidRDefault="00CD516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F27E66"/>
    <w:multiLevelType w:val="hybridMultilevel"/>
    <w:tmpl w:val="BC2A16E4"/>
    <w:lvl w:ilvl="0" w:tplc="C9E01A14">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27633158"/>
    <w:multiLevelType w:val="hybridMultilevel"/>
    <w:tmpl w:val="6706D6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07DE0"/>
    <w:rsid w:val="000346CC"/>
    <w:rsid w:val="000529D2"/>
    <w:rsid w:val="000564AB"/>
    <w:rsid w:val="00064FBD"/>
    <w:rsid w:val="00082AB2"/>
    <w:rsid w:val="000906FE"/>
    <w:rsid w:val="00096AF7"/>
    <w:rsid w:val="000B344B"/>
    <w:rsid w:val="000C3B0F"/>
    <w:rsid w:val="000C3B60"/>
    <w:rsid w:val="000E0DD2"/>
    <w:rsid w:val="000E3AF1"/>
    <w:rsid w:val="000F0BC8"/>
    <w:rsid w:val="000F0DD6"/>
    <w:rsid w:val="00105973"/>
    <w:rsid w:val="00107E6D"/>
    <w:rsid w:val="0011194C"/>
    <w:rsid w:val="0011424C"/>
    <w:rsid w:val="001173C6"/>
    <w:rsid w:val="001367BC"/>
    <w:rsid w:val="00144D2A"/>
    <w:rsid w:val="0014653E"/>
    <w:rsid w:val="00180519"/>
    <w:rsid w:val="00191C82"/>
    <w:rsid w:val="001A492B"/>
    <w:rsid w:val="001C4003"/>
    <w:rsid w:val="001D4DBF"/>
    <w:rsid w:val="001E75CA"/>
    <w:rsid w:val="002265FF"/>
    <w:rsid w:val="00235B97"/>
    <w:rsid w:val="00271B56"/>
    <w:rsid w:val="002C344E"/>
    <w:rsid w:val="002E14A5"/>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B3E8D"/>
    <w:rsid w:val="003D1C8C"/>
    <w:rsid w:val="0040096C"/>
    <w:rsid w:val="00414F1F"/>
    <w:rsid w:val="0043125D"/>
    <w:rsid w:val="0043502B"/>
    <w:rsid w:val="004443AC"/>
    <w:rsid w:val="00444B02"/>
    <w:rsid w:val="00451E28"/>
    <w:rsid w:val="00460DFF"/>
    <w:rsid w:val="00462C62"/>
    <w:rsid w:val="00465D36"/>
    <w:rsid w:val="004C17EE"/>
    <w:rsid w:val="004C4BDF"/>
    <w:rsid w:val="004D1187"/>
    <w:rsid w:val="004D3AA0"/>
    <w:rsid w:val="004E1987"/>
    <w:rsid w:val="004E2E15"/>
    <w:rsid w:val="004E6E3C"/>
    <w:rsid w:val="00511B90"/>
    <w:rsid w:val="00520898"/>
    <w:rsid w:val="00523621"/>
    <w:rsid w:val="00524986"/>
    <w:rsid w:val="005268F6"/>
    <w:rsid w:val="00534284"/>
    <w:rsid w:val="00547DB7"/>
    <w:rsid w:val="005C0627"/>
    <w:rsid w:val="005F4F09"/>
    <w:rsid w:val="0061431B"/>
    <w:rsid w:val="00622BAA"/>
    <w:rsid w:val="006306CF"/>
    <w:rsid w:val="006318D8"/>
    <w:rsid w:val="00644E9A"/>
    <w:rsid w:val="00671BD5"/>
    <w:rsid w:val="00675AE0"/>
    <w:rsid w:val="006805C1"/>
    <w:rsid w:val="00686C21"/>
    <w:rsid w:val="006931C1"/>
    <w:rsid w:val="00694556"/>
    <w:rsid w:val="006B7258"/>
    <w:rsid w:val="006C30C5"/>
    <w:rsid w:val="006D3B31"/>
    <w:rsid w:val="006E0D96"/>
    <w:rsid w:val="006E1A53"/>
    <w:rsid w:val="006F56E6"/>
    <w:rsid w:val="00704EDA"/>
    <w:rsid w:val="00721122"/>
    <w:rsid w:val="00734689"/>
    <w:rsid w:val="00753019"/>
    <w:rsid w:val="00754801"/>
    <w:rsid w:val="00761441"/>
    <w:rsid w:val="00795365"/>
    <w:rsid w:val="007A351D"/>
    <w:rsid w:val="007B7765"/>
    <w:rsid w:val="007C5BDD"/>
    <w:rsid w:val="007D45E3"/>
    <w:rsid w:val="007E6115"/>
    <w:rsid w:val="007F4609"/>
    <w:rsid w:val="00814468"/>
    <w:rsid w:val="008176A1"/>
    <w:rsid w:val="00820005"/>
    <w:rsid w:val="00841158"/>
    <w:rsid w:val="00844318"/>
    <w:rsid w:val="00851257"/>
    <w:rsid w:val="008612B1"/>
    <w:rsid w:val="00863F5D"/>
    <w:rsid w:val="00870890"/>
    <w:rsid w:val="00873602"/>
    <w:rsid w:val="00875D12"/>
    <w:rsid w:val="0088479D"/>
    <w:rsid w:val="00891F42"/>
    <w:rsid w:val="00896889"/>
    <w:rsid w:val="008A59EE"/>
    <w:rsid w:val="008A6E97"/>
    <w:rsid w:val="008C5714"/>
    <w:rsid w:val="008D10B2"/>
    <w:rsid w:val="008D2343"/>
    <w:rsid w:val="00903896"/>
    <w:rsid w:val="00906F3D"/>
    <w:rsid w:val="0094424E"/>
    <w:rsid w:val="00955642"/>
    <w:rsid w:val="009622DF"/>
    <w:rsid w:val="0096493F"/>
    <w:rsid w:val="00967DFF"/>
    <w:rsid w:val="00994341"/>
    <w:rsid w:val="009D1A48"/>
    <w:rsid w:val="009E1CE7"/>
    <w:rsid w:val="009E4EA5"/>
    <w:rsid w:val="009F164B"/>
    <w:rsid w:val="009F323C"/>
    <w:rsid w:val="00A271DA"/>
    <w:rsid w:val="00A3392B"/>
    <w:rsid w:val="00A81988"/>
    <w:rsid w:val="00A85E34"/>
    <w:rsid w:val="00A87DF6"/>
    <w:rsid w:val="00A9144F"/>
    <w:rsid w:val="00A94B64"/>
    <w:rsid w:val="00AA3229"/>
    <w:rsid w:val="00AA7596"/>
    <w:rsid w:val="00AB5E52"/>
    <w:rsid w:val="00AC3B02"/>
    <w:rsid w:val="00AC3B7B"/>
    <w:rsid w:val="00AC5209"/>
    <w:rsid w:val="00AE0E34"/>
    <w:rsid w:val="00AE729E"/>
    <w:rsid w:val="00AE7752"/>
    <w:rsid w:val="00AF7FDA"/>
    <w:rsid w:val="00B05402"/>
    <w:rsid w:val="00B5356E"/>
    <w:rsid w:val="00B62AD7"/>
    <w:rsid w:val="00B66717"/>
    <w:rsid w:val="00B809AD"/>
    <w:rsid w:val="00B80CBD"/>
    <w:rsid w:val="00B86096"/>
    <w:rsid w:val="00B95D6E"/>
    <w:rsid w:val="00B964D9"/>
    <w:rsid w:val="00BA0A7C"/>
    <w:rsid w:val="00BA517C"/>
    <w:rsid w:val="00BB3D05"/>
    <w:rsid w:val="00BB73BE"/>
    <w:rsid w:val="00BC2D89"/>
    <w:rsid w:val="00BD6531"/>
    <w:rsid w:val="00BE05B2"/>
    <w:rsid w:val="00BF1908"/>
    <w:rsid w:val="00BF5208"/>
    <w:rsid w:val="00C22D93"/>
    <w:rsid w:val="00C23458"/>
    <w:rsid w:val="00C24A0E"/>
    <w:rsid w:val="00C31120"/>
    <w:rsid w:val="00C34482"/>
    <w:rsid w:val="00C43648"/>
    <w:rsid w:val="00C50A9F"/>
    <w:rsid w:val="00C642FA"/>
    <w:rsid w:val="00CC7622"/>
    <w:rsid w:val="00CD516B"/>
    <w:rsid w:val="00CD608F"/>
    <w:rsid w:val="00CE0084"/>
    <w:rsid w:val="00CF6BB7"/>
    <w:rsid w:val="00D04AA4"/>
    <w:rsid w:val="00D27982"/>
    <w:rsid w:val="00D33B86"/>
    <w:rsid w:val="00D44968"/>
    <w:rsid w:val="00D53924"/>
    <w:rsid w:val="00D55D0C"/>
    <w:rsid w:val="00D96D8C"/>
    <w:rsid w:val="00DA6649"/>
    <w:rsid w:val="00DC1259"/>
    <w:rsid w:val="00DC1BD2"/>
    <w:rsid w:val="00DC2571"/>
    <w:rsid w:val="00DC487C"/>
    <w:rsid w:val="00DD4335"/>
    <w:rsid w:val="00DE1E7D"/>
    <w:rsid w:val="00DE6BF6"/>
    <w:rsid w:val="00E1068A"/>
    <w:rsid w:val="00E25884"/>
    <w:rsid w:val="00E25B55"/>
    <w:rsid w:val="00E317EA"/>
    <w:rsid w:val="00E31C2B"/>
    <w:rsid w:val="00E5426A"/>
    <w:rsid w:val="00E54642"/>
    <w:rsid w:val="00E80CBE"/>
    <w:rsid w:val="00E9269D"/>
    <w:rsid w:val="00E962E3"/>
    <w:rsid w:val="00EB6C79"/>
    <w:rsid w:val="00EC37E9"/>
    <w:rsid w:val="00F038D8"/>
    <w:rsid w:val="00F06995"/>
    <w:rsid w:val="00F12D66"/>
    <w:rsid w:val="00F13623"/>
    <w:rsid w:val="00F44D1D"/>
    <w:rsid w:val="00F66852"/>
    <w:rsid w:val="00F84B6D"/>
    <w:rsid w:val="00F957E8"/>
    <w:rsid w:val="00FA311A"/>
    <w:rsid w:val="00FA5FDA"/>
    <w:rsid w:val="00FA7FD0"/>
    <w:rsid w:val="00FB6AB3"/>
    <w:rsid w:val="00FD1419"/>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qFormat/>
    <w:rsid w:val="002E14A5"/>
    <w:pPr>
      <w:ind w:left="720"/>
      <w:contextualSpacing/>
    </w:pPr>
    <w:rPr>
      <w:noProof w:val="0"/>
    </w:rPr>
  </w:style>
  <w:style w:type="paragraph" w:customStyle="1" w:styleId="Ruller5">
    <w:name w:val="Ruller5"/>
    <w:basedOn w:val="a"/>
    <w:rsid w:val="002E14A5"/>
    <w:pPr>
      <w:overflowPunct w:val="0"/>
      <w:autoSpaceDE w:val="0"/>
      <w:autoSpaceDN w:val="0"/>
      <w:adjustRightInd w:val="0"/>
      <w:ind w:left="1642" w:right="1282"/>
      <w:jc w:val="both"/>
    </w:pPr>
    <w:rPr>
      <w:rFonts w:ascii="Arial TUR" w:hAnsi="Arial TUR" w:cs="FrankRuehl"/>
      <w:noProof w:val="0"/>
      <w:spacing w:val="10"/>
      <w:sz w:val="22"/>
      <w:szCs w:val="28"/>
    </w:rPr>
  </w:style>
  <w:style w:type="character" w:customStyle="1" w:styleId="default">
    <w:name w:val="default"/>
    <w:rsid w:val="002E14A5"/>
    <w:rPr>
      <w:rFonts w:ascii="Times New Roman" w:hAnsi="Times New Roman" w:cs="Times New Roman" w:hint="default"/>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476875192">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BD69D1" w:rsidP="00BD69D1">
          <w:pPr>
            <w:pStyle w:val="4672CCA166BA4F0A892EB1D7BA0002CB4"/>
          </w:pPr>
          <w:r>
            <w:rPr>
              <w:b/>
              <w:bCs/>
              <w:noProof w:val="0"/>
              <w:sz w:val="26"/>
              <w:szCs w:val="26"/>
              <w:rtl/>
            </w:rPr>
            <w:t>שם תיק ללא שמות חסויים</w:t>
          </w:r>
        </w:p>
      </w:docPartBody>
    </w:docPart>
    <w:docPart>
      <w:docPartPr>
        <w:name w:val="A32AA0D48D7641E2987A16A2ED6A1223"/>
        <w:category>
          <w:name w:val="כללי"/>
          <w:gallery w:val="placeholder"/>
        </w:category>
        <w:types>
          <w:type w:val="bbPlcHdr"/>
        </w:types>
        <w:behaviors>
          <w:behavior w:val="content"/>
        </w:behaviors>
        <w:guid w:val="{62B2666B-0BF8-4FED-A278-A0B45C36DAD9}"/>
      </w:docPartPr>
      <w:docPartBody>
        <w:p w:rsidR="009A296B" w:rsidRDefault="00D43E2F" w:rsidP="00D43E2F">
          <w:pPr>
            <w:pStyle w:val="A32AA0D48D7641E2987A16A2ED6A1223"/>
          </w:pPr>
          <w:r>
            <w:rPr>
              <w:rFonts w:ascii="Arial" w:hAnsi="Arial"/>
              <w:b/>
              <w:bCs/>
              <w:sz w:val="26"/>
              <w:szCs w:val="26"/>
              <w:rtl/>
            </w:rPr>
            <w:t>שם צד א'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A0763"/>
    <w:rsid w:val="002D02C4"/>
    <w:rsid w:val="00345C9D"/>
    <w:rsid w:val="0048651F"/>
    <w:rsid w:val="004B017A"/>
    <w:rsid w:val="005157ED"/>
    <w:rsid w:val="00526736"/>
    <w:rsid w:val="00556D67"/>
    <w:rsid w:val="00673B50"/>
    <w:rsid w:val="00793995"/>
    <w:rsid w:val="007C6F98"/>
    <w:rsid w:val="007E254A"/>
    <w:rsid w:val="008B4366"/>
    <w:rsid w:val="009133C7"/>
    <w:rsid w:val="009178E4"/>
    <w:rsid w:val="00961B27"/>
    <w:rsid w:val="009A296B"/>
    <w:rsid w:val="009A36E7"/>
    <w:rsid w:val="009D451E"/>
    <w:rsid w:val="00AA7CE3"/>
    <w:rsid w:val="00B50DB2"/>
    <w:rsid w:val="00B72BC2"/>
    <w:rsid w:val="00B91FA3"/>
    <w:rsid w:val="00BD69D1"/>
    <w:rsid w:val="00BE6557"/>
    <w:rsid w:val="00C96C06"/>
    <w:rsid w:val="00D24521"/>
    <w:rsid w:val="00D43E2F"/>
    <w:rsid w:val="00D6580E"/>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43E2F"/>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D43E2F"/>
    <w:pPr>
      <w:bidi/>
      <w:spacing w:after="0" w:line="240" w:lineRule="auto"/>
    </w:pPr>
    <w:rPr>
      <w:rFonts w:ascii="Times New Roman" w:eastAsia="Times New Roman" w:hAnsi="Times New Roman" w:cs="David"/>
      <w:noProof/>
      <w:sz w:val="24"/>
      <w:szCs w:val="24"/>
    </w:rPr>
  </w:style>
  <w:style w:type="paragraph" w:customStyle="1" w:styleId="A32AA0D48D7641E2987A16A2ED6A1223">
    <w:name w:val="A32AA0D48D7641E2987A16A2ED6A1223"/>
    <w:rsid w:val="00D43E2F"/>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2625</Words>
  <Characters>13128</Characters>
  <Application>Microsoft Office Word</Application>
  <DocSecurity>0</DocSecurity>
  <Lines>109</Lines>
  <Paragraphs>31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15722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2023-07-12T11:08:00Z</dcterms:created>
  <dcterms:modified xsi:type="dcterms:W3CDTF">2023-07-12T11:08:00Z</dcterms:modified>
</cp:coreProperties>
</file>